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D720D" w14:textId="568B3695" w:rsidR="001D2233" w:rsidRPr="006762F5" w:rsidRDefault="001D2233" w:rsidP="00A06AE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Background</w:t>
      </w:r>
    </w:p>
    <w:p w14:paraId="204160A3" w14:textId="11013456" w:rsidR="005F6CA1" w:rsidRPr="00F97CE3" w:rsidRDefault="00A06AE3" w:rsidP="00A06AE3">
      <w:pPr>
        <w:jc w:val="both"/>
        <w:rPr>
          <w:rFonts w:ascii="Times New Roman" w:hAnsi="Times New Roman" w:cs="Times New Roman"/>
        </w:rPr>
      </w:pPr>
      <w:r w:rsidRPr="00F97CE3">
        <w:rPr>
          <w:rFonts w:ascii="Times New Roman" w:hAnsi="Times New Roman" w:cs="Times New Roman"/>
        </w:rPr>
        <w:t xml:space="preserve">Proton-responsive ligands are an important class of ligands that can change their bonding character to a metal upon introduction/removal of a proton or </w:t>
      </w:r>
      <w:proofErr w:type="spellStart"/>
      <w:r w:rsidRPr="00F97CE3">
        <w:rPr>
          <w:rFonts w:ascii="Times New Roman" w:hAnsi="Times New Roman" w:cs="Times New Roman"/>
        </w:rPr>
        <w:t>tautomerization</w:t>
      </w:r>
      <w:proofErr w:type="spellEnd"/>
      <w:r w:rsidRPr="00F97CE3">
        <w:rPr>
          <w:rFonts w:ascii="Times New Roman" w:hAnsi="Times New Roman" w:cs="Times New Roman"/>
        </w:rPr>
        <w:t xml:space="preserve">. Nature takes advantage of this feature in </w:t>
      </w:r>
      <w:r w:rsidR="00C44D4C" w:rsidRPr="00F97CE3">
        <w:rPr>
          <w:rFonts w:ascii="Times New Roman" w:hAnsi="Times New Roman" w:cs="Times New Roman"/>
        </w:rPr>
        <w:t xml:space="preserve">the </w:t>
      </w:r>
      <w:proofErr w:type="spellStart"/>
      <w:r w:rsidR="00C44D4C" w:rsidRPr="00F97CE3">
        <w:rPr>
          <w:rFonts w:ascii="Times New Roman" w:hAnsi="Times New Roman" w:cs="Times New Roman"/>
        </w:rPr>
        <w:t>FeGP</w:t>
      </w:r>
      <w:proofErr w:type="spellEnd"/>
      <w:r w:rsidR="00C44D4C" w:rsidRPr="00F97CE3">
        <w:rPr>
          <w:rFonts w:ascii="Times New Roman" w:hAnsi="Times New Roman" w:cs="Times New Roman"/>
        </w:rPr>
        <w:t xml:space="preserve"> cofactor </w:t>
      </w:r>
      <w:r w:rsidRPr="00F97CE3">
        <w:rPr>
          <w:rFonts w:ascii="Times New Roman" w:hAnsi="Times New Roman" w:cs="Times New Roman"/>
        </w:rPr>
        <w:t>of [Fe]-</w:t>
      </w:r>
      <w:proofErr w:type="spellStart"/>
      <w:r w:rsidRPr="00F97CE3">
        <w:rPr>
          <w:rFonts w:ascii="Times New Roman" w:hAnsi="Times New Roman" w:cs="Times New Roman"/>
        </w:rPr>
        <w:t>hydrogenase</w:t>
      </w:r>
      <w:proofErr w:type="spellEnd"/>
      <w:r w:rsidR="00C44D4C" w:rsidRPr="00F97CE3">
        <w:rPr>
          <w:rFonts w:ascii="Times New Roman" w:hAnsi="Times New Roman" w:cs="Times New Roman"/>
        </w:rPr>
        <w:t xml:space="preserve"> (Scheme 1, right)</w:t>
      </w:r>
      <w:proofErr w:type="gramStart"/>
      <w:r w:rsidR="00C44D4C" w:rsidRPr="00F97CE3">
        <w:rPr>
          <w:rFonts w:ascii="Times New Roman" w:hAnsi="Times New Roman" w:cs="Times New Roman"/>
        </w:rPr>
        <w:t>,</w:t>
      </w:r>
      <w:r w:rsidR="00AD1E3E" w:rsidRPr="00F97CE3">
        <w:rPr>
          <w:rFonts w:ascii="Times New Roman" w:hAnsi="Times New Roman" w:cs="Times New Roman"/>
          <w:vertAlign w:val="superscript"/>
        </w:rPr>
        <w:t>1</w:t>
      </w:r>
      <w:proofErr w:type="gramEnd"/>
      <w:r w:rsidRPr="00F97CE3">
        <w:rPr>
          <w:rFonts w:ascii="Times New Roman" w:hAnsi="Times New Roman" w:cs="Times New Roman"/>
        </w:rPr>
        <w:t xml:space="preserve"> where the 2-hydroxypyridine moiety (highlighted in red) supports the Fe ion, facilitates H</w:t>
      </w:r>
      <w:r w:rsidRPr="00F97CE3">
        <w:rPr>
          <w:rFonts w:ascii="Times New Roman" w:hAnsi="Times New Roman" w:cs="Times New Roman"/>
          <w:vertAlign w:val="subscript"/>
        </w:rPr>
        <w:t>2</w:t>
      </w:r>
      <w:r w:rsidRPr="00F97CE3">
        <w:rPr>
          <w:rFonts w:ascii="Times New Roman" w:hAnsi="Times New Roman" w:cs="Times New Roman"/>
        </w:rPr>
        <w:t xml:space="preserve"> cleavage, and </w:t>
      </w:r>
      <w:r w:rsidR="00C44D4C" w:rsidRPr="00F97CE3">
        <w:rPr>
          <w:rFonts w:ascii="Times New Roman" w:hAnsi="Times New Roman" w:cs="Times New Roman"/>
        </w:rPr>
        <w:t>engages</w:t>
      </w:r>
      <w:r w:rsidRPr="00F97CE3">
        <w:rPr>
          <w:rFonts w:ascii="Times New Roman" w:hAnsi="Times New Roman" w:cs="Times New Roman"/>
        </w:rPr>
        <w:t xml:space="preserve"> in hydrogen bonding. However, 2-hydroxypyridine (</w:t>
      </w:r>
      <w:r w:rsidRPr="00F97CE3">
        <w:rPr>
          <w:rFonts w:ascii="Times New Roman" w:hAnsi="Times New Roman" w:cs="Times New Roman"/>
          <w:b/>
        </w:rPr>
        <w:t>1</w:t>
      </w:r>
      <w:r w:rsidRPr="00F97CE3">
        <w:rPr>
          <w:rFonts w:ascii="Times New Roman" w:hAnsi="Times New Roman" w:cs="Times New Roman"/>
        </w:rPr>
        <w:t>) has 2-pyridone (</w:t>
      </w:r>
      <w:r w:rsidRPr="00F97CE3">
        <w:rPr>
          <w:rFonts w:ascii="Times New Roman" w:hAnsi="Times New Roman" w:cs="Times New Roman"/>
          <w:b/>
        </w:rPr>
        <w:t>2</w:t>
      </w:r>
      <w:r w:rsidRPr="00F97CE3">
        <w:rPr>
          <w:rFonts w:ascii="Times New Roman" w:hAnsi="Times New Roman" w:cs="Times New Roman"/>
        </w:rPr>
        <w:t xml:space="preserve">) as a tautomer. Each of these molecules can bind to a metal center through the nitrogen as shown in </w:t>
      </w:r>
      <w:r w:rsidRPr="00F97CE3">
        <w:rPr>
          <w:rFonts w:ascii="Times New Roman" w:hAnsi="Times New Roman" w:cs="Times New Roman"/>
          <w:b/>
        </w:rPr>
        <w:t>3</w:t>
      </w:r>
      <w:r w:rsidRPr="00F97CE3">
        <w:rPr>
          <w:rFonts w:ascii="Times New Roman" w:hAnsi="Times New Roman" w:cs="Times New Roman"/>
        </w:rPr>
        <w:t xml:space="preserve"> and </w:t>
      </w:r>
      <w:r w:rsidRPr="00F97CE3">
        <w:rPr>
          <w:rFonts w:ascii="Times New Roman" w:hAnsi="Times New Roman" w:cs="Times New Roman"/>
          <w:b/>
        </w:rPr>
        <w:t>4</w:t>
      </w:r>
      <w:r w:rsidRPr="00F97CE3">
        <w:rPr>
          <w:rFonts w:ascii="Times New Roman" w:hAnsi="Times New Roman" w:cs="Times New Roman"/>
        </w:rPr>
        <w:t xml:space="preserve">, respectively. How do </w:t>
      </w:r>
      <w:r w:rsidR="00892439" w:rsidRPr="00F97CE3">
        <w:rPr>
          <w:rFonts w:ascii="Times New Roman" w:hAnsi="Times New Roman" w:cs="Times New Roman"/>
          <w:b/>
        </w:rPr>
        <w:t>1</w:t>
      </w:r>
      <w:r w:rsidR="00892439" w:rsidRPr="00F97CE3">
        <w:rPr>
          <w:rFonts w:ascii="Times New Roman" w:hAnsi="Times New Roman" w:cs="Times New Roman"/>
        </w:rPr>
        <w:t xml:space="preserve"> and </w:t>
      </w:r>
      <w:r w:rsidR="00892439" w:rsidRPr="00F97CE3">
        <w:rPr>
          <w:rFonts w:ascii="Times New Roman" w:hAnsi="Times New Roman" w:cs="Times New Roman"/>
          <w:b/>
        </w:rPr>
        <w:t>2</w:t>
      </w:r>
      <w:r w:rsidRPr="00F97CE3">
        <w:rPr>
          <w:rFonts w:ascii="Times New Roman" w:hAnsi="Times New Roman" w:cs="Times New Roman"/>
        </w:rPr>
        <w:t xml:space="preserve"> affect the </w:t>
      </w:r>
      <w:r w:rsidR="00027CE5" w:rsidRPr="00F97CE3">
        <w:rPr>
          <w:rFonts w:ascii="Times New Roman" w:hAnsi="Times New Roman" w:cs="Times New Roman"/>
          <w:i/>
        </w:rPr>
        <w:t>d</w:t>
      </w:r>
      <w:r w:rsidR="00027CE5" w:rsidRPr="00F97CE3">
        <w:rPr>
          <w:rFonts w:ascii="Times New Roman" w:hAnsi="Times New Roman" w:cs="Times New Roman"/>
        </w:rPr>
        <w:t>-electron count at the</w:t>
      </w:r>
      <w:r w:rsidRPr="00F97CE3">
        <w:rPr>
          <w:rFonts w:ascii="Times New Roman" w:hAnsi="Times New Roman" w:cs="Times New Roman"/>
        </w:rPr>
        <w:t xml:space="preserve"> metal</w:t>
      </w:r>
      <w:r w:rsidR="0069142F" w:rsidRPr="00F97CE3">
        <w:rPr>
          <w:rFonts w:ascii="Times New Roman" w:hAnsi="Times New Roman" w:cs="Times New Roman"/>
        </w:rPr>
        <w:t xml:space="preserve"> center</w:t>
      </w:r>
      <w:r w:rsidRPr="00F97CE3">
        <w:rPr>
          <w:rFonts w:ascii="Times New Roman" w:hAnsi="Times New Roman" w:cs="Times New Roman"/>
        </w:rPr>
        <w:t xml:space="preserve">? How do they influence the overall electron count of the complex? By the end of this exercise you should be able to discuss how proton-responsive ligands </w:t>
      </w:r>
      <w:r w:rsidR="00DF36EF" w:rsidRPr="00F97CE3">
        <w:rPr>
          <w:rFonts w:ascii="Times New Roman" w:hAnsi="Times New Roman" w:cs="Times New Roman"/>
        </w:rPr>
        <w:t xml:space="preserve">can </w:t>
      </w:r>
      <w:r w:rsidRPr="00F97CE3">
        <w:rPr>
          <w:rFonts w:ascii="Times New Roman" w:hAnsi="Times New Roman" w:cs="Times New Roman"/>
        </w:rPr>
        <w:t>impact the bonding in metal complexes</w:t>
      </w:r>
      <w:r w:rsidR="00DF36EF" w:rsidRPr="00F97CE3">
        <w:rPr>
          <w:rFonts w:ascii="Times New Roman" w:hAnsi="Times New Roman" w:cs="Times New Roman"/>
        </w:rPr>
        <w:t xml:space="preserve"> when protonated or deprotonated</w:t>
      </w:r>
      <w:r w:rsidRPr="00F97CE3">
        <w:rPr>
          <w:rFonts w:ascii="Times New Roman" w:hAnsi="Times New Roman" w:cs="Times New Roman"/>
        </w:rPr>
        <w:t>.</w:t>
      </w:r>
    </w:p>
    <w:p w14:paraId="0725050A" w14:textId="77777777" w:rsidR="00A06AE3" w:rsidRPr="00F97CE3" w:rsidRDefault="00A06AE3" w:rsidP="00A06AE3">
      <w:pPr>
        <w:jc w:val="both"/>
        <w:rPr>
          <w:rFonts w:ascii="Times New Roman" w:hAnsi="Times New Roman" w:cs="Times New Roman"/>
        </w:rPr>
      </w:pPr>
    </w:p>
    <w:p w14:paraId="323F1079" w14:textId="77777777" w:rsidR="00A06AE3" w:rsidRPr="00F97CE3" w:rsidRDefault="00892439" w:rsidP="00A06AE3">
      <w:pPr>
        <w:jc w:val="center"/>
        <w:rPr>
          <w:rFonts w:ascii="Times New Roman" w:hAnsi="Times New Roman" w:cs="Times New Roman"/>
        </w:rPr>
      </w:pPr>
      <w:r w:rsidRPr="00F97CE3">
        <w:rPr>
          <w:rFonts w:ascii="Times New Roman" w:hAnsi="Times New Roman" w:cs="Times New Roman"/>
          <w:noProof/>
        </w:rPr>
        <w:drawing>
          <wp:inline distT="0" distB="0" distL="0" distR="0" wp14:anchorId="39AB525C" wp14:editId="71E01897">
            <wp:extent cx="4956810" cy="33883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810" cy="338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7C281" w14:textId="77777777" w:rsidR="00AD1E3E" w:rsidRPr="00F97CE3" w:rsidRDefault="00AD1E3E" w:rsidP="0069142F">
      <w:pPr>
        <w:rPr>
          <w:rFonts w:ascii="Times New Roman" w:hAnsi="Times New Roman" w:cs="Times New Roman"/>
        </w:rPr>
      </w:pPr>
    </w:p>
    <w:p w14:paraId="211082C6" w14:textId="35B9D975" w:rsidR="001D2233" w:rsidRDefault="001D2233" w:rsidP="0069142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Worked Example</w:t>
      </w:r>
    </w:p>
    <w:p w14:paraId="5A05718A" w14:textId="729700A8" w:rsidR="0069142F" w:rsidRPr="00A44243" w:rsidRDefault="00347395" w:rsidP="0069142F">
      <w:pPr>
        <w:jc w:val="both"/>
        <w:rPr>
          <w:rFonts w:ascii="Times New Roman" w:hAnsi="Times New Roman" w:cs="Times New Roman"/>
        </w:rPr>
      </w:pPr>
      <w:r w:rsidRPr="00F97CE3">
        <w:rPr>
          <w:rFonts w:ascii="Times New Roman" w:hAnsi="Times New Roman" w:cs="Times New Roman"/>
        </w:rPr>
        <w:t xml:space="preserve">In Scheme 2 is a </w:t>
      </w:r>
      <w:proofErr w:type="spellStart"/>
      <w:r w:rsidRPr="00F97CE3">
        <w:rPr>
          <w:rFonts w:ascii="Times New Roman" w:hAnsi="Times New Roman" w:cs="Times New Roman"/>
        </w:rPr>
        <w:t>Ru</w:t>
      </w:r>
      <w:proofErr w:type="spellEnd"/>
      <w:r w:rsidRPr="00F97CE3">
        <w:rPr>
          <w:rFonts w:ascii="Times New Roman" w:hAnsi="Times New Roman" w:cs="Times New Roman"/>
        </w:rPr>
        <w:t>-based</w:t>
      </w:r>
      <w:r w:rsidR="00AA6958" w:rsidRPr="00F97CE3">
        <w:rPr>
          <w:rFonts w:ascii="Times New Roman" w:hAnsi="Times New Roman" w:cs="Times New Roman"/>
        </w:rPr>
        <w:t xml:space="preserve"> compound featuring the 2-hydroxypyridine moiety embedded in a larger </w:t>
      </w:r>
      <w:proofErr w:type="spellStart"/>
      <w:r w:rsidR="00AA6958" w:rsidRPr="00F97CE3">
        <w:rPr>
          <w:rFonts w:ascii="Times New Roman" w:hAnsi="Times New Roman" w:cs="Times New Roman"/>
        </w:rPr>
        <w:t>heterocycle</w:t>
      </w:r>
      <w:proofErr w:type="spellEnd"/>
      <w:r w:rsidR="00AA6958" w:rsidRPr="00F97CE3">
        <w:rPr>
          <w:rFonts w:ascii="Times New Roman" w:hAnsi="Times New Roman" w:cs="Times New Roman"/>
        </w:rPr>
        <w:t xml:space="preserve">. How do we count the electrons for species </w:t>
      </w:r>
      <w:r w:rsidR="00AA6958" w:rsidRPr="00F97CE3">
        <w:rPr>
          <w:rFonts w:ascii="Times New Roman" w:hAnsi="Times New Roman" w:cs="Times New Roman"/>
          <w:b/>
        </w:rPr>
        <w:t>5</w:t>
      </w:r>
      <w:r w:rsidR="00AA6958" w:rsidRPr="00F97CE3">
        <w:rPr>
          <w:rFonts w:ascii="Times New Roman" w:hAnsi="Times New Roman" w:cs="Times New Roman"/>
        </w:rPr>
        <w:t xml:space="preserve"> and </w:t>
      </w:r>
      <w:r w:rsidR="00AA6958" w:rsidRPr="00F97CE3">
        <w:rPr>
          <w:rFonts w:ascii="Times New Roman" w:hAnsi="Times New Roman" w:cs="Times New Roman"/>
          <w:b/>
        </w:rPr>
        <w:t>6</w:t>
      </w:r>
      <w:r w:rsidR="00AA6958" w:rsidRPr="00F97CE3">
        <w:rPr>
          <w:rFonts w:ascii="Times New Roman" w:hAnsi="Times New Roman" w:cs="Times New Roman"/>
        </w:rPr>
        <w:t>?</w:t>
      </w:r>
      <w:r w:rsidR="00F97CE3">
        <w:rPr>
          <w:rFonts w:ascii="Times New Roman" w:hAnsi="Times New Roman" w:cs="Times New Roman"/>
        </w:rPr>
        <w:t xml:space="preserve"> Carbonyl is counted as a neutral, two</w:t>
      </w:r>
      <w:r w:rsidR="00582BBE">
        <w:rPr>
          <w:rFonts w:ascii="Times New Roman" w:hAnsi="Times New Roman" w:cs="Times New Roman"/>
        </w:rPr>
        <w:t>-</w:t>
      </w:r>
      <w:r w:rsidR="00F97CE3">
        <w:rPr>
          <w:rFonts w:ascii="Times New Roman" w:hAnsi="Times New Roman" w:cs="Times New Roman"/>
        </w:rPr>
        <w:t xml:space="preserve">electron donor. The tridentate ligand going in-and-out of the plane of the page is known as a </w:t>
      </w:r>
      <w:proofErr w:type="spellStart"/>
      <w:r w:rsidR="00F97CE3">
        <w:rPr>
          <w:rFonts w:ascii="Times New Roman" w:hAnsi="Times New Roman" w:cs="Times New Roman"/>
        </w:rPr>
        <w:t>terpyridine</w:t>
      </w:r>
      <w:proofErr w:type="spellEnd"/>
      <w:r w:rsidR="00FF64C4">
        <w:rPr>
          <w:rFonts w:ascii="Times New Roman" w:hAnsi="Times New Roman" w:cs="Times New Roman"/>
        </w:rPr>
        <w:t xml:space="preserve"> (</w:t>
      </w:r>
      <w:proofErr w:type="spellStart"/>
      <w:r w:rsidR="00FF64C4">
        <w:rPr>
          <w:rFonts w:ascii="Times New Roman" w:hAnsi="Times New Roman" w:cs="Times New Roman"/>
        </w:rPr>
        <w:t>tpy</w:t>
      </w:r>
      <w:proofErr w:type="spellEnd"/>
      <w:r w:rsidR="00FF64C4">
        <w:rPr>
          <w:rFonts w:ascii="Times New Roman" w:hAnsi="Times New Roman" w:cs="Times New Roman"/>
        </w:rPr>
        <w:t>)</w:t>
      </w:r>
      <w:r w:rsidR="00F97CE3">
        <w:rPr>
          <w:rFonts w:ascii="Times New Roman" w:hAnsi="Times New Roman" w:cs="Times New Roman"/>
        </w:rPr>
        <w:t xml:space="preserve"> ligand. As the name suggests each connection point is analogous to an individual pyridine, which means that this is an overall neutral, six-electron donor. These ligands are common to both </w:t>
      </w:r>
      <w:r w:rsidR="00F97CE3">
        <w:rPr>
          <w:rFonts w:ascii="Times New Roman" w:hAnsi="Times New Roman" w:cs="Times New Roman"/>
          <w:b/>
        </w:rPr>
        <w:t>5</w:t>
      </w:r>
      <w:r w:rsidR="00F97CE3">
        <w:rPr>
          <w:rFonts w:ascii="Times New Roman" w:hAnsi="Times New Roman" w:cs="Times New Roman"/>
        </w:rPr>
        <w:t xml:space="preserve"> and </w:t>
      </w:r>
      <w:r w:rsidR="00F97CE3">
        <w:rPr>
          <w:rFonts w:ascii="Times New Roman" w:hAnsi="Times New Roman" w:cs="Times New Roman"/>
          <w:b/>
        </w:rPr>
        <w:t>6</w:t>
      </w:r>
      <w:r w:rsidR="00F97CE3">
        <w:rPr>
          <w:rFonts w:ascii="Times New Roman" w:hAnsi="Times New Roman" w:cs="Times New Roman"/>
        </w:rPr>
        <w:t xml:space="preserve">. </w:t>
      </w:r>
      <w:r w:rsidR="00FF64C4">
        <w:rPr>
          <w:rFonts w:ascii="Times New Roman" w:hAnsi="Times New Roman" w:cs="Times New Roman"/>
        </w:rPr>
        <w:t xml:space="preserve">The remaining ligand, based on </w:t>
      </w:r>
      <w:proofErr w:type="spellStart"/>
      <w:r w:rsidR="00FF64C4">
        <w:rPr>
          <w:rFonts w:ascii="Times New Roman" w:hAnsi="Times New Roman" w:cs="Times New Roman"/>
        </w:rPr>
        <w:t>bipyridine</w:t>
      </w:r>
      <w:proofErr w:type="spellEnd"/>
      <w:r w:rsidR="00FF64C4">
        <w:rPr>
          <w:rFonts w:ascii="Times New Roman" w:hAnsi="Times New Roman" w:cs="Times New Roman"/>
        </w:rPr>
        <w:t xml:space="preserve"> (denoted </w:t>
      </w:r>
      <w:proofErr w:type="spellStart"/>
      <w:r w:rsidR="00FF64C4">
        <w:rPr>
          <w:rFonts w:ascii="Times New Roman" w:hAnsi="Times New Roman" w:cs="Times New Roman"/>
        </w:rPr>
        <w:t>bpy</w:t>
      </w:r>
      <w:proofErr w:type="spellEnd"/>
      <w:r w:rsidR="00FF64C4">
        <w:rPr>
          <w:rFonts w:ascii="Times New Roman" w:hAnsi="Times New Roman" w:cs="Times New Roman"/>
        </w:rPr>
        <w:t>’) adopts a tautomer similar to 2-</w:t>
      </w:r>
      <w:r w:rsidR="00FF64C4">
        <w:rPr>
          <w:rFonts w:ascii="Times New Roman" w:hAnsi="Times New Roman" w:cs="Times New Roman"/>
        </w:rPr>
        <w:lastRenderedPageBreak/>
        <w:t xml:space="preserve">pyridone in </w:t>
      </w:r>
      <w:r w:rsidR="00FF64C4">
        <w:rPr>
          <w:rFonts w:ascii="Times New Roman" w:hAnsi="Times New Roman" w:cs="Times New Roman"/>
          <w:b/>
        </w:rPr>
        <w:t>5</w:t>
      </w:r>
      <w:r w:rsidR="00FF64C4">
        <w:rPr>
          <w:rFonts w:ascii="Times New Roman" w:hAnsi="Times New Roman" w:cs="Times New Roman"/>
        </w:rPr>
        <w:t xml:space="preserve"> and 2-hydroxypyridine in </w:t>
      </w:r>
      <w:r w:rsidR="00FF64C4">
        <w:rPr>
          <w:rFonts w:ascii="Times New Roman" w:hAnsi="Times New Roman" w:cs="Times New Roman"/>
          <w:b/>
        </w:rPr>
        <w:t>6</w:t>
      </w:r>
      <w:r w:rsidR="00FF64C4">
        <w:rPr>
          <w:rFonts w:ascii="Times New Roman" w:hAnsi="Times New Roman" w:cs="Times New Roman"/>
        </w:rPr>
        <w:t xml:space="preserve">. When you break the M–N bonds in </w:t>
      </w:r>
      <w:r w:rsidR="00FF64C4">
        <w:rPr>
          <w:rFonts w:ascii="Times New Roman" w:hAnsi="Times New Roman" w:cs="Times New Roman"/>
          <w:b/>
        </w:rPr>
        <w:t>5</w:t>
      </w:r>
      <w:r w:rsidR="00FF64C4">
        <w:rPr>
          <w:rFonts w:ascii="Times New Roman" w:hAnsi="Times New Roman" w:cs="Times New Roman"/>
        </w:rPr>
        <w:t xml:space="preserve">, the black ring in </w:t>
      </w:r>
      <w:proofErr w:type="spellStart"/>
      <w:r w:rsidR="00FF64C4">
        <w:rPr>
          <w:rFonts w:ascii="Times New Roman" w:hAnsi="Times New Roman" w:cs="Times New Roman"/>
        </w:rPr>
        <w:t>bpy</w:t>
      </w:r>
      <w:proofErr w:type="spellEnd"/>
      <w:r w:rsidR="00FF64C4">
        <w:rPr>
          <w:rFonts w:ascii="Times New Roman" w:hAnsi="Times New Roman" w:cs="Times New Roman"/>
        </w:rPr>
        <w:t>’ looks like pyridine (2 e</w:t>
      </w:r>
      <w:r w:rsidR="00FF64C4">
        <w:rPr>
          <w:rFonts w:ascii="Times New Roman" w:hAnsi="Times New Roman" w:cs="Times New Roman"/>
          <w:vertAlign w:val="superscript"/>
        </w:rPr>
        <w:t>–</w:t>
      </w:r>
      <w:r w:rsidR="00FF64C4">
        <w:rPr>
          <w:rFonts w:ascii="Times New Roman" w:hAnsi="Times New Roman" w:cs="Times New Roman"/>
        </w:rPr>
        <w:t xml:space="preserve">, neutral) but the red </w:t>
      </w:r>
      <w:r w:rsidR="00582BBE">
        <w:rPr>
          <w:rFonts w:ascii="Times New Roman" w:hAnsi="Times New Roman" w:cs="Times New Roman"/>
        </w:rPr>
        <w:t>ring, with only two bonds to</w:t>
      </w:r>
      <w:r w:rsidR="00FF64C4">
        <w:rPr>
          <w:rFonts w:ascii="Times New Roman" w:hAnsi="Times New Roman" w:cs="Times New Roman"/>
        </w:rPr>
        <w:t xml:space="preserve"> N, would be a 2 e</w:t>
      </w:r>
      <w:r w:rsidR="00FF64C4">
        <w:rPr>
          <w:rFonts w:ascii="Times New Roman" w:hAnsi="Times New Roman" w:cs="Times New Roman"/>
          <w:vertAlign w:val="superscript"/>
        </w:rPr>
        <w:t>–</w:t>
      </w:r>
      <w:r w:rsidR="00FF64C4">
        <w:rPr>
          <w:rFonts w:ascii="Times New Roman" w:hAnsi="Times New Roman" w:cs="Times New Roman"/>
        </w:rPr>
        <w:t xml:space="preserve">, anionic donor. Thus, knowing that the complex has an overall 1+ charge one can infer that the </w:t>
      </w:r>
      <w:proofErr w:type="spellStart"/>
      <w:r w:rsidR="00FF64C4">
        <w:rPr>
          <w:rFonts w:ascii="Times New Roman" w:hAnsi="Times New Roman" w:cs="Times New Roman"/>
        </w:rPr>
        <w:t>Ru</w:t>
      </w:r>
      <w:proofErr w:type="spellEnd"/>
      <w:r w:rsidR="00FF64C4">
        <w:rPr>
          <w:rFonts w:ascii="Times New Roman" w:hAnsi="Times New Roman" w:cs="Times New Roman"/>
        </w:rPr>
        <w:t xml:space="preserve"> is a 2+ ion with a d</w:t>
      </w:r>
      <w:r w:rsidR="00FF64C4">
        <w:rPr>
          <w:rFonts w:ascii="Times New Roman" w:hAnsi="Times New Roman" w:cs="Times New Roman"/>
          <w:vertAlign w:val="superscript"/>
        </w:rPr>
        <w:t>6</w:t>
      </w:r>
      <w:r w:rsidR="00FF64C4">
        <w:rPr>
          <w:rFonts w:ascii="Times New Roman" w:hAnsi="Times New Roman" w:cs="Times New Roman"/>
        </w:rPr>
        <w:t xml:space="preserve"> electron count. Summing these up, </w:t>
      </w:r>
      <w:r w:rsidR="00FF64C4">
        <w:rPr>
          <w:rFonts w:ascii="Times New Roman" w:hAnsi="Times New Roman" w:cs="Times New Roman"/>
          <w:b/>
        </w:rPr>
        <w:t>5</w:t>
      </w:r>
      <w:r w:rsidR="00FF64C4">
        <w:rPr>
          <w:rFonts w:ascii="Times New Roman" w:hAnsi="Times New Roman" w:cs="Times New Roman"/>
        </w:rPr>
        <w:t xml:space="preserve"> should be an 18-electron complex.</w:t>
      </w:r>
      <w:r w:rsidR="00A44243">
        <w:rPr>
          <w:rFonts w:ascii="Times New Roman" w:hAnsi="Times New Roman" w:cs="Times New Roman"/>
        </w:rPr>
        <w:t xml:space="preserve"> In </w:t>
      </w:r>
      <w:r w:rsidR="00A44243">
        <w:rPr>
          <w:rFonts w:ascii="Times New Roman" w:hAnsi="Times New Roman" w:cs="Times New Roman"/>
          <w:b/>
        </w:rPr>
        <w:t>6</w:t>
      </w:r>
      <w:r w:rsidR="00A44243">
        <w:rPr>
          <w:rFonts w:ascii="Times New Roman" w:hAnsi="Times New Roman" w:cs="Times New Roman"/>
        </w:rPr>
        <w:t xml:space="preserve">, breaking the </w:t>
      </w:r>
      <w:proofErr w:type="spellStart"/>
      <w:r w:rsidR="00A44243">
        <w:rPr>
          <w:rFonts w:ascii="Times New Roman" w:hAnsi="Times New Roman" w:cs="Times New Roman"/>
        </w:rPr>
        <w:t>Ru</w:t>
      </w:r>
      <w:proofErr w:type="spellEnd"/>
      <w:r w:rsidR="00A44243">
        <w:rPr>
          <w:rFonts w:ascii="Times New Roman" w:hAnsi="Times New Roman" w:cs="Times New Roman"/>
        </w:rPr>
        <w:t xml:space="preserve">–N bond in the red ring results in a ligand that looks like pyridine </w:t>
      </w:r>
      <w:r w:rsidR="00582BBE">
        <w:rPr>
          <w:rFonts w:ascii="Times New Roman" w:hAnsi="Times New Roman" w:cs="Times New Roman"/>
        </w:rPr>
        <w:t>and</w:t>
      </w:r>
      <w:r w:rsidR="00A44243">
        <w:rPr>
          <w:rFonts w:ascii="Times New Roman" w:hAnsi="Times New Roman" w:cs="Times New Roman"/>
        </w:rPr>
        <w:t xml:space="preserve"> implies </w:t>
      </w:r>
      <w:r w:rsidR="00582BBE">
        <w:rPr>
          <w:rFonts w:ascii="Times New Roman" w:hAnsi="Times New Roman" w:cs="Times New Roman"/>
        </w:rPr>
        <w:t xml:space="preserve">that </w:t>
      </w:r>
      <w:r w:rsidR="00D22D2F">
        <w:rPr>
          <w:rFonts w:ascii="Times New Roman" w:hAnsi="Times New Roman" w:cs="Times New Roman"/>
        </w:rPr>
        <w:t xml:space="preserve">this ring is </w:t>
      </w:r>
      <w:r w:rsidR="00A44243">
        <w:rPr>
          <w:rFonts w:ascii="Times New Roman" w:hAnsi="Times New Roman" w:cs="Times New Roman"/>
        </w:rPr>
        <w:t xml:space="preserve">a neutral, two-electron donor. However, they arrived at </w:t>
      </w:r>
      <w:r w:rsidR="00A44243">
        <w:rPr>
          <w:rFonts w:ascii="Times New Roman" w:hAnsi="Times New Roman" w:cs="Times New Roman"/>
          <w:b/>
        </w:rPr>
        <w:t>6</w:t>
      </w:r>
      <w:r w:rsidR="00A44243">
        <w:rPr>
          <w:rFonts w:ascii="Times New Roman" w:hAnsi="Times New Roman" w:cs="Times New Roman"/>
        </w:rPr>
        <w:t xml:space="preserve"> by protonating </w:t>
      </w:r>
      <w:r w:rsidR="00A44243">
        <w:rPr>
          <w:rFonts w:ascii="Times New Roman" w:hAnsi="Times New Roman" w:cs="Times New Roman"/>
          <w:b/>
        </w:rPr>
        <w:t>5</w:t>
      </w:r>
      <w:r w:rsidR="00A44243">
        <w:rPr>
          <w:rFonts w:ascii="Times New Roman" w:hAnsi="Times New Roman" w:cs="Times New Roman"/>
        </w:rPr>
        <w:t xml:space="preserve"> so the overall charge </w:t>
      </w:r>
      <w:r w:rsidR="00582BBE">
        <w:rPr>
          <w:rFonts w:ascii="Times New Roman" w:hAnsi="Times New Roman" w:cs="Times New Roman"/>
        </w:rPr>
        <w:t>increased to</w:t>
      </w:r>
      <w:r w:rsidR="00A44243">
        <w:rPr>
          <w:rFonts w:ascii="Times New Roman" w:hAnsi="Times New Roman" w:cs="Times New Roman"/>
        </w:rPr>
        <w:t xml:space="preserve"> 2+ and therefore the </w:t>
      </w:r>
      <w:proofErr w:type="spellStart"/>
      <w:r w:rsidR="00A44243">
        <w:rPr>
          <w:rFonts w:ascii="Times New Roman" w:hAnsi="Times New Roman" w:cs="Times New Roman"/>
        </w:rPr>
        <w:t>Ru</w:t>
      </w:r>
      <w:proofErr w:type="spellEnd"/>
      <w:r w:rsidR="00A44243">
        <w:rPr>
          <w:rFonts w:ascii="Times New Roman" w:hAnsi="Times New Roman" w:cs="Times New Roman"/>
        </w:rPr>
        <w:t xml:space="preserve"> oxidation state, and overall electron count, does not change. This counting is summarized in Table 1.</w:t>
      </w:r>
    </w:p>
    <w:p w14:paraId="17AE2D70" w14:textId="77777777" w:rsidR="00FF64C4" w:rsidRDefault="00FF64C4" w:rsidP="0069142F">
      <w:pPr>
        <w:jc w:val="both"/>
        <w:rPr>
          <w:rFonts w:ascii="Times New Roman" w:hAnsi="Times New Roman" w:cs="Times New Roman"/>
        </w:rPr>
      </w:pPr>
    </w:p>
    <w:p w14:paraId="603923C5" w14:textId="703F0BB4" w:rsidR="00FF64C4" w:rsidRPr="00A44243" w:rsidRDefault="00FF64C4" w:rsidP="006914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Table 1.</w:t>
      </w:r>
      <w:r>
        <w:rPr>
          <w:rFonts w:ascii="Times New Roman" w:hAnsi="Times New Roman" w:cs="Times New Roman"/>
        </w:rPr>
        <w:t xml:space="preserve"> </w:t>
      </w:r>
      <w:r w:rsidR="00A44243">
        <w:rPr>
          <w:rFonts w:ascii="Times New Roman" w:hAnsi="Times New Roman" w:cs="Times New Roman"/>
        </w:rPr>
        <w:t xml:space="preserve">Electron count summary for species </w:t>
      </w:r>
      <w:r w:rsidR="00A44243">
        <w:rPr>
          <w:rFonts w:ascii="Times New Roman" w:hAnsi="Times New Roman" w:cs="Times New Roman"/>
          <w:b/>
        </w:rPr>
        <w:t>5</w:t>
      </w:r>
      <w:r w:rsidR="00A44243">
        <w:rPr>
          <w:rFonts w:ascii="Times New Roman" w:hAnsi="Times New Roman" w:cs="Times New Roman"/>
        </w:rPr>
        <w:t xml:space="preserve"> and </w:t>
      </w:r>
      <w:r w:rsidR="00A44243">
        <w:rPr>
          <w:rFonts w:ascii="Times New Roman" w:hAnsi="Times New Roman" w:cs="Times New Roman"/>
          <w:b/>
        </w:rPr>
        <w:t>6</w:t>
      </w:r>
      <w:r w:rsidR="00A44243">
        <w:rPr>
          <w:rFonts w:ascii="Times New Roman" w:hAnsi="Times New Roman" w:cs="Times New Roman"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3"/>
        <w:gridCol w:w="1233"/>
        <w:gridCol w:w="1233"/>
        <w:gridCol w:w="1233"/>
        <w:gridCol w:w="1233"/>
        <w:gridCol w:w="1233"/>
      </w:tblGrid>
      <w:tr w:rsidR="00FF64C4" w14:paraId="574DFDE6" w14:textId="77777777" w:rsidTr="00FF64C4">
        <w:trPr>
          <w:jc w:val="center"/>
        </w:trPr>
        <w:tc>
          <w:tcPr>
            <w:tcW w:w="3699" w:type="dxa"/>
            <w:gridSpan w:val="3"/>
            <w:tcBorders>
              <w:right w:val="single" w:sz="4" w:space="0" w:color="auto"/>
            </w:tcBorders>
          </w:tcPr>
          <w:p w14:paraId="21F33988" w14:textId="18CA3343" w:rsidR="00FF64C4" w:rsidRPr="00FF64C4" w:rsidRDefault="00FF64C4" w:rsidP="00F97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64C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99" w:type="dxa"/>
            <w:gridSpan w:val="3"/>
            <w:tcBorders>
              <w:left w:val="single" w:sz="4" w:space="0" w:color="auto"/>
            </w:tcBorders>
          </w:tcPr>
          <w:p w14:paraId="0F234656" w14:textId="201D3ED3" w:rsidR="00FF64C4" w:rsidRPr="00FF64C4" w:rsidRDefault="00FF64C4" w:rsidP="00F97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64C4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FF64C4" w14:paraId="7772BEE0" w14:textId="77777777" w:rsidTr="00FF64C4">
        <w:trPr>
          <w:jc w:val="center"/>
        </w:trPr>
        <w:tc>
          <w:tcPr>
            <w:tcW w:w="1233" w:type="dxa"/>
            <w:tcBorders>
              <w:bottom w:val="single" w:sz="4" w:space="0" w:color="auto"/>
            </w:tcBorders>
          </w:tcPr>
          <w:p w14:paraId="7762B491" w14:textId="6EACF0ED" w:rsidR="00F97CE3" w:rsidRDefault="00FF64C4" w:rsidP="00F97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14:paraId="20B61BCF" w14:textId="06653492" w:rsidR="00F97CE3" w:rsidRPr="00FF64C4" w:rsidRDefault="00FF64C4" w:rsidP="00F97CE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e</w:t>
            </w:r>
            <w:proofErr w:type="gramEnd"/>
            <w:r>
              <w:rPr>
                <w:rFonts w:ascii="Times New Roman" w:hAnsi="Times New Roman" w:cs="Times New Roman"/>
                <w:vertAlign w:val="superscript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count</w:t>
            </w:r>
          </w:p>
        </w:tc>
        <w:tc>
          <w:tcPr>
            <w:tcW w:w="1233" w:type="dxa"/>
            <w:tcBorders>
              <w:bottom w:val="single" w:sz="4" w:space="0" w:color="auto"/>
              <w:right w:val="single" w:sz="4" w:space="0" w:color="auto"/>
            </w:tcBorders>
          </w:tcPr>
          <w:p w14:paraId="055594DE" w14:textId="739E870C" w:rsidR="00F97CE3" w:rsidRPr="00FF64C4" w:rsidRDefault="00FF64C4" w:rsidP="00F97CE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64C4">
              <w:rPr>
                <w:rFonts w:ascii="Times New Roman" w:hAnsi="Times New Roman" w:cs="Times New Roman"/>
              </w:rPr>
              <w:t>charge</w:t>
            </w:r>
            <w:proofErr w:type="gramEnd"/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</w:tcBorders>
          </w:tcPr>
          <w:p w14:paraId="3F3CB2C2" w14:textId="23AFD88A" w:rsidR="00F97CE3" w:rsidRPr="00FF64C4" w:rsidRDefault="00FF64C4" w:rsidP="00F97CE3">
            <w:pPr>
              <w:jc w:val="center"/>
              <w:rPr>
                <w:rFonts w:ascii="Times New Roman" w:hAnsi="Times New Roman" w:cs="Times New Roman"/>
              </w:rPr>
            </w:pPr>
            <w:r w:rsidRPr="00FF64C4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14:paraId="16A29977" w14:textId="063D56EF" w:rsidR="00F97CE3" w:rsidRPr="00FF64C4" w:rsidRDefault="00FF64C4" w:rsidP="00F97CE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64C4">
              <w:rPr>
                <w:rFonts w:ascii="Times New Roman" w:hAnsi="Times New Roman" w:cs="Times New Roman"/>
              </w:rPr>
              <w:t>e</w:t>
            </w:r>
            <w:proofErr w:type="gramEnd"/>
            <w:r w:rsidRPr="00FF64C4">
              <w:rPr>
                <w:rFonts w:ascii="Times New Roman" w:hAnsi="Times New Roman" w:cs="Times New Roman"/>
                <w:vertAlign w:val="superscript"/>
              </w:rPr>
              <w:t>–</w:t>
            </w:r>
            <w:r w:rsidRPr="00FF64C4">
              <w:rPr>
                <w:rFonts w:ascii="Times New Roman" w:hAnsi="Times New Roman" w:cs="Times New Roman"/>
              </w:rPr>
              <w:t xml:space="preserve"> count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14:paraId="76E62DAA" w14:textId="7A3CC991" w:rsidR="00F97CE3" w:rsidRPr="00FF64C4" w:rsidRDefault="00FF64C4" w:rsidP="00F97CE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64C4">
              <w:rPr>
                <w:rFonts w:ascii="Times New Roman" w:hAnsi="Times New Roman" w:cs="Times New Roman"/>
              </w:rPr>
              <w:t>charge</w:t>
            </w:r>
            <w:proofErr w:type="gramEnd"/>
          </w:p>
        </w:tc>
      </w:tr>
      <w:tr w:rsidR="00FF64C4" w14:paraId="25876142" w14:textId="77777777" w:rsidTr="00FF64C4">
        <w:trPr>
          <w:jc w:val="center"/>
        </w:trPr>
        <w:tc>
          <w:tcPr>
            <w:tcW w:w="1233" w:type="dxa"/>
            <w:tcBorders>
              <w:top w:val="single" w:sz="4" w:space="0" w:color="auto"/>
            </w:tcBorders>
          </w:tcPr>
          <w:p w14:paraId="08119BC7" w14:textId="1CFFE1F2" w:rsidR="00F97CE3" w:rsidRDefault="00FF64C4" w:rsidP="00F97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</w:t>
            </w:r>
          </w:p>
        </w:tc>
        <w:tc>
          <w:tcPr>
            <w:tcW w:w="1233" w:type="dxa"/>
            <w:tcBorders>
              <w:top w:val="single" w:sz="4" w:space="0" w:color="auto"/>
            </w:tcBorders>
          </w:tcPr>
          <w:p w14:paraId="2691D346" w14:textId="1F8BCAB9" w:rsidR="00F97CE3" w:rsidRDefault="00FF64C4" w:rsidP="00F97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right w:val="single" w:sz="4" w:space="0" w:color="auto"/>
            </w:tcBorders>
          </w:tcPr>
          <w:p w14:paraId="4362DDD3" w14:textId="50ECCB76" w:rsidR="00F97CE3" w:rsidRDefault="00FF64C4" w:rsidP="00F97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</w:tcPr>
          <w:p w14:paraId="42E4C6BD" w14:textId="274646CF" w:rsidR="00F97CE3" w:rsidRDefault="00FF64C4" w:rsidP="00F97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</w:t>
            </w:r>
          </w:p>
        </w:tc>
        <w:tc>
          <w:tcPr>
            <w:tcW w:w="1233" w:type="dxa"/>
            <w:tcBorders>
              <w:top w:val="single" w:sz="4" w:space="0" w:color="auto"/>
            </w:tcBorders>
          </w:tcPr>
          <w:p w14:paraId="5DA90764" w14:textId="4E173DFA" w:rsidR="00F97CE3" w:rsidRDefault="00FF64C4" w:rsidP="00F97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</w:tcBorders>
          </w:tcPr>
          <w:p w14:paraId="388D7327" w14:textId="6CB1844C" w:rsidR="00F97CE3" w:rsidRDefault="00FF64C4" w:rsidP="00F97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4C4" w14:paraId="1CFB97F3" w14:textId="77777777" w:rsidTr="00FF64C4">
        <w:trPr>
          <w:jc w:val="center"/>
        </w:trPr>
        <w:tc>
          <w:tcPr>
            <w:tcW w:w="1233" w:type="dxa"/>
          </w:tcPr>
          <w:p w14:paraId="55AADC65" w14:textId="712D47B3" w:rsidR="00F97CE3" w:rsidRDefault="00FF64C4" w:rsidP="00F97C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tpy</w:t>
            </w:r>
            <w:proofErr w:type="spellEnd"/>
            <w:proofErr w:type="gramEnd"/>
          </w:p>
        </w:tc>
        <w:tc>
          <w:tcPr>
            <w:tcW w:w="1233" w:type="dxa"/>
          </w:tcPr>
          <w:p w14:paraId="16D5EA1B" w14:textId="235020C5" w:rsidR="00F97CE3" w:rsidRDefault="00FF64C4" w:rsidP="00F97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3" w:type="dxa"/>
            <w:tcBorders>
              <w:right w:val="single" w:sz="4" w:space="0" w:color="auto"/>
            </w:tcBorders>
          </w:tcPr>
          <w:p w14:paraId="2782D85D" w14:textId="5405F703" w:rsidR="00F97CE3" w:rsidRDefault="00FF64C4" w:rsidP="00F97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14:paraId="61B3375B" w14:textId="03E218F1" w:rsidR="00F97CE3" w:rsidRDefault="00FF64C4" w:rsidP="00F97C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tpy</w:t>
            </w:r>
            <w:proofErr w:type="spellEnd"/>
            <w:proofErr w:type="gramEnd"/>
          </w:p>
        </w:tc>
        <w:tc>
          <w:tcPr>
            <w:tcW w:w="1233" w:type="dxa"/>
          </w:tcPr>
          <w:p w14:paraId="335F9A84" w14:textId="13E389C7" w:rsidR="00F97CE3" w:rsidRDefault="00FF64C4" w:rsidP="00F97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3" w:type="dxa"/>
          </w:tcPr>
          <w:p w14:paraId="75B7887A" w14:textId="1B2961ED" w:rsidR="00F97CE3" w:rsidRDefault="00FF64C4" w:rsidP="00F97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4C4" w14:paraId="7EA1F274" w14:textId="77777777" w:rsidTr="00FF64C4">
        <w:trPr>
          <w:jc w:val="center"/>
        </w:trPr>
        <w:tc>
          <w:tcPr>
            <w:tcW w:w="1233" w:type="dxa"/>
          </w:tcPr>
          <w:p w14:paraId="7B0100D8" w14:textId="1BB761DA" w:rsidR="00F97CE3" w:rsidRDefault="00FF64C4" w:rsidP="00F97C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bpy</w:t>
            </w:r>
            <w:proofErr w:type="spellEnd"/>
            <w:r>
              <w:rPr>
                <w:rFonts w:ascii="Times New Roman" w:hAnsi="Times New Roman" w:cs="Times New Roman"/>
              </w:rPr>
              <w:t>'</w:t>
            </w:r>
            <w:proofErr w:type="gramEnd"/>
          </w:p>
        </w:tc>
        <w:tc>
          <w:tcPr>
            <w:tcW w:w="1233" w:type="dxa"/>
          </w:tcPr>
          <w:p w14:paraId="708A47D1" w14:textId="4C405925" w:rsidR="00F97CE3" w:rsidRDefault="00FF64C4" w:rsidP="00F97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3" w:type="dxa"/>
            <w:tcBorders>
              <w:right w:val="single" w:sz="4" w:space="0" w:color="auto"/>
            </w:tcBorders>
          </w:tcPr>
          <w:p w14:paraId="03F205C1" w14:textId="5BA8B5DC" w:rsidR="00F97CE3" w:rsidRDefault="00FF64C4" w:rsidP="00F97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1–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14:paraId="76D37515" w14:textId="18B2C8BA" w:rsidR="00F97CE3" w:rsidRDefault="00FF64C4" w:rsidP="00F97C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bpy</w:t>
            </w:r>
            <w:proofErr w:type="spellEnd"/>
            <w:r>
              <w:rPr>
                <w:rFonts w:ascii="Times New Roman" w:hAnsi="Times New Roman" w:cs="Times New Roman"/>
              </w:rPr>
              <w:t>'</w:t>
            </w:r>
            <w:proofErr w:type="gramEnd"/>
          </w:p>
        </w:tc>
        <w:tc>
          <w:tcPr>
            <w:tcW w:w="1233" w:type="dxa"/>
          </w:tcPr>
          <w:p w14:paraId="293F9AC5" w14:textId="72559575" w:rsidR="00F97CE3" w:rsidRDefault="00FF64C4" w:rsidP="00F97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3" w:type="dxa"/>
          </w:tcPr>
          <w:p w14:paraId="08214007" w14:textId="58538FDB" w:rsidR="00F97CE3" w:rsidRDefault="00FF64C4" w:rsidP="00F97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4C4" w14:paraId="7F7DB512" w14:textId="77777777" w:rsidTr="00FF64C4">
        <w:trPr>
          <w:jc w:val="center"/>
        </w:trPr>
        <w:tc>
          <w:tcPr>
            <w:tcW w:w="1233" w:type="dxa"/>
            <w:tcBorders>
              <w:bottom w:val="single" w:sz="4" w:space="0" w:color="auto"/>
            </w:tcBorders>
          </w:tcPr>
          <w:p w14:paraId="25DF48E6" w14:textId="7DFB7872" w:rsidR="00F97CE3" w:rsidRDefault="00FF64C4" w:rsidP="00F97C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Ru</w:t>
            </w:r>
            <w:proofErr w:type="spellEnd"/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14:paraId="01FC63AB" w14:textId="41E16B77" w:rsidR="00F97CE3" w:rsidRPr="00FF64C4" w:rsidRDefault="00FF64C4" w:rsidP="00F97CE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vertAlign w:val="superscript"/>
              </w:rPr>
              <w:t>6</w:t>
            </w:r>
            <w:proofErr w:type="gramEnd"/>
          </w:p>
        </w:tc>
        <w:tc>
          <w:tcPr>
            <w:tcW w:w="1233" w:type="dxa"/>
            <w:tcBorders>
              <w:bottom w:val="single" w:sz="4" w:space="0" w:color="auto"/>
              <w:right w:val="single" w:sz="4" w:space="0" w:color="auto"/>
            </w:tcBorders>
          </w:tcPr>
          <w:p w14:paraId="4A884EDE" w14:textId="4D06A556" w:rsidR="00F97CE3" w:rsidRDefault="00FF64C4" w:rsidP="00F97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2+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</w:tcBorders>
          </w:tcPr>
          <w:p w14:paraId="6A4679E2" w14:textId="5CEB6175" w:rsidR="00F97CE3" w:rsidRDefault="00FF64C4" w:rsidP="00F97C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Ru</w:t>
            </w:r>
            <w:proofErr w:type="spellEnd"/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14:paraId="2CBEBEC6" w14:textId="012C288B" w:rsidR="00F97CE3" w:rsidRPr="00FF64C4" w:rsidRDefault="00FF64C4" w:rsidP="00F97CE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vertAlign w:val="superscript"/>
              </w:rPr>
              <w:t>6</w:t>
            </w:r>
            <w:proofErr w:type="gramEnd"/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14:paraId="2CA98C72" w14:textId="1301BA4C" w:rsidR="00F97CE3" w:rsidRDefault="00FF64C4" w:rsidP="00F97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2+</w:t>
            </w:r>
          </w:p>
        </w:tc>
      </w:tr>
      <w:tr w:rsidR="00FF64C4" w14:paraId="71277D4F" w14:textId="77777777" w:rsidTr="00FF64C4">
        <w:trPr>
          <w:jc w:val="center"/>
        </w:trPr>
        <w:tc>
          <w:tcPr>
            <w:tcW w:w="1233" w:type="dxa"/>
            <w:tcBorders>
              <w:top w:val="single" w:sz="4" w:space="0" w:color="auto"/>
            </w:tcBorders>
          </w:tcPr>
          <w:p w14:paraId="14987492" w14:textId="626C82C3" w:rsidR="00F97CE3" w:rsidRDefault="00FF64C4" w:rsidP="00F97CE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overall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</w:tcBorders>
          </w:tcPr>
          <w:p w14:paraId="37BCB06C" w14:textId="650F1B25" w:rsidR="00F97CE3" w:rsidRDefault="00FF64C4" w:rsidP="00F97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33" w:type="dxa"/>
            <w:tcBorders>
              <w:top w:val="single" w:sz="4" w:space="0" w:color="auto"/>
              <w:right w:val="single" w:sz="4" w:space="0" w:color="auto"/>
            </w:tcBorders>
          </w:tcPr>
          <w:p w14:paraId="5CC8FF97" w14:textId="77E16819" w:rsidR="00F97CE3" w:rsidRDefault="00FF64C4" w:rsidP="00F97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</w:tcPr>
          <w:p w14:paraId="26023453" w14:textId="44005536" w:rsidR="00F97CE3" w:rsidRDefault="00FF64C4" w:rsidP="00F97CE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overall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</w:tcBorders>
          </w:tcPr>
          <w:p w14:paraId="3D9E2048" w14:textId="0F914884" w:rsidR="00F97CE3" w:rsidRDefault="00FF64C4" w:rsidP="00F97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33" w:type="dxa"/>
            <w:tcBorders>
              <w:top w:val="single" w:sz="4" w:space="0" w:color="auto"/>
            </w:tcBorders>
          </w:tcPr>
          <w:p w14:paraId="7649329C" w14:textId="5BD1D3CE" w:rsidR="00F97CE3" w:rsidRDefault="00FF64C4" w:rsidP="00F97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2+</w:t>
            </w:r>
          </w:p>
        </w:tc>
      </w:tr>
    </w:tbl>
    <w:p w14:paraId="67840747" w14:textId="77777777" w:rsidR="00347395" w:rsidRPr="00F97CE3" w:rsidRDefault="00347395" w:rsidP="00F97CE3">
      <w:pPr>
        <w:jc w:val="center"/>
        <w:rPr>
          <w:rFonts w:ascii="Times New Roman" w:hAnsi="Times New Roman" w:cs="Times New Roman"/>
        </w:rPr>
      </w:pPr>
    </w:p>
    <w:p w14:paraId="4BE7D5AB" w14:textId="762E11BB" w:rsidR="0069142F" w:rsidRDefault="00AA6958" w:rsidP="00A06AE3">
      <w:pPr>
        <w:jc w:val="center"/>
        <w:rPr>
          <w:rFonts w:ascii="Times New Roman" w:hAnsi="Times New Roman" w:cs="Times New Roman"/>
        </w:rPr>
      </w:pPr>
      <w:r w:rsidRPr="00F97CE3">
        <w:rPr>
          <w:rFonts w:ascii="Times New Roman" w:hAnsi="Times New Roman" w:cs="Times New Roman"/>
          <w:noProof/>
        </w:rPr>
        <w:drawing>
          <wp:inline distT="0" distB="0" distL="0" distR="0" wp14:anchorId="20D4E754" wp14:editId="5555C59F">
            <wp:extent cx="3895725" cy="21907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AB098" w14:textId="77777777" w:rsidR="001D2233" w:rsidRDefault="001D2233" w:rsidP="001D2233">
      <w:pPr>
        <w:rPr>
          <w:rFonts w:ascii="Times New Roman" w:hAnsi="Times New Roman" w:cs="Times New Roman"/>
        </w:rPr>
      </w:pPr>
    </w:p>
    <w:p w14:paraId="260116D5" w14:textId="35D8237D" w:rsidR="00582BBE" w:rsidRDefault="001D2233" w:rsidP="001D223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In-Class Exercise</w:t>
      </w:r>
    </w:p>
    <w:p w14:paraId="12D5AF24" w14:textId="12F04CC7" w:rsidR="00582BBE" w:rsidRDefault="00582BBE" w:rsidP="00582B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</w:t>
      </w:r>
      <w:r w:rsidR="00CC506C">
        <w:rPr>
          <w:rFonts w:ascii="Times New Roman" w:hAnsi="Times New Roman" w:cs="Times New Roman"/>
        </w:rPr>
        <w:t>y your new knowledge of classifying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tautomeric</w:t>
      </w:r>
      <w:proofErr w:type="spellEnd"/>
      <w:r>
        <w:rPr>
          <w:rFonts w:ascii="Times New Roman" w:hAnsi="Times New Roman" w:cs="Times New Roman"/>
        </w:rPr>
        <w:t xml:space="preserve"> ligands to </w:t>
      </w:r>
      <w:r w:rsidR="00136ADF">
        <w:rPr>
          <w:rFonts w:ascii="Times New Roman" w:hAnsi="Times New Roman" w:cs="Times New Roman"/>
        </w:rPr>
        <w:t>complete Table 2</w:t>
      </w:r>
      <w:r>
        <w:rPr>
          <w:rFonts w:ascii="Times New Roman" w:hAnsi="Times New Roman" w:cs="Times New Roman"/>
        </w:rPr>
        <w:t xml:space="preserve"> for the compounds shown in Scheme 3. </w:t>
      </w:r>
      <w:r w:rsidR="00252975">
        <w:rPr>
          <w:rFonts w:ascii="Times New Roman" w:hAnsi="Times New Roman" w:cs="Times New Roman"/>
        </w:rPr>
        <w:t xml:space="preserve">Does the metal undergo redox chemistry? Is the metal-ligand bonding </w:t>
      </w:r>
      <w:r w:rsidR="00136ADF">
        <w:rPr>
          <w:rFonts w:ascii="Times New Roman" w:hAnsi="Times New Roman" w:cs="Times New Roman"/>
        </w:rPr>
        <w:t>constant throughout the proton cascade</w:t>
      </w:r>
      <w:r w:rsidR="00252975"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</w:rPr>
        <w:t>These complexes are all related to hydroboration catalyst</w:t>
      </w:r>
      <w:r w:rsidR="0025297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enabled by proton-responsive ligands that w</w:t>
      </w:r>
      <w:r w:rsidR="00252975">
        <w:rPr>
          <w:rFonts w:ascii="Times New Roman" w:hAnsi="Times New Roman" w:cs="Times New Roman"/>
        </w:rPr>
        <w:t>ere</w:t>
      </w:r>
      <w:r>
        <w:rPr>
          <w:rFonts w:ascii="Times New Roman" w:hAnsi="Times New Roman" w:cs="Times New Roman"/>
        </w:rPr>
        <w:t xml:space="preserve"> recently reported by the </w:t>
      </w:r>
      <w:proofErr w:type="spellStart"/>
      <w:r>
        <w:rPr>
          <w:rFonts w:ascii="Times New Roman" w:hAnsi="Times New Roman" w:cs="Times New Roman"/>
        </w:rPr>
        <w:t>Szymczak</w:t>
      </w:r>
      <w:proofErr w:type="spellEnd"/>
      <w:r>
        <w:rPr>
          <w:rFonts w:ascii="Times New Roman" w:hAnsi="Times New Roman" w:cs="Times New Roman"/>
        </w:rPr>
        <w:t xml:space="preserve"> group.</w:t>
      </w:r>
      <w:r>
        <w:rPr>
          <w:rFonts w:ascii="Times New Roman" w:hAnsi="Times New Roman" w:cs="Times New Roman"/>
          <w:vertAlign w:val="superscript"/>
        </w:rPr>
        <w:t>3</w:t>
      </w:r>
    </w:p>
    <w:p w14:paraId="7ED192D1" w14:textId="77777777" w:rsidR="00252975" w:rsidRDefault="00252975" w:rsidP="00582BBE">
      <w:pPr>
        <w:jc w:val="both"/>
        <w:rPr>
          <w:rFonts w:ascii="Times New Roman" w:hAnsi="Times New Roman" w:cs="Times New Roman"/>
        </w:rPr>
      </w:pPr>
    </w:p>
    <w:p w14:paraId="48FA5C47" w14:textId="16A5C173" w:rsidR="00252975" w:rsidRPr="00252975" w:rsidRDefault="006762F5" w:rsidP="0025297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A48DC82" wp14:editId="659E8BD9">
            <wp:extent cx="5486400" cy="142789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427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78A81" w14:textId="326FDD07" w:rsidR="00136ADF" w:rsidRPr="00136ADF" w:rsidRDefault="00136ADF" w:rsidP="00136A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Table 2.</w:t>
      </w:r>
      <w:r>
        <w:rPr>
          <w:rFonts w:ascii="Times New Roman" w:hAnsi="Times New Roman" w:cs="Times New Roman"/>
        </w:rPr>
        <w:t xml:space="preserve"> Electron counts for compounds </w:t>
      </w:r>
      <w:r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</w:rPr>
        <w:t>. Show all work to support your answers in the space provided.</w:t>
      </w:r>
      <w:bookmarkStart w:id="0" w:name="_GoBack"/>
      <w:bookmarkEnd w:id="0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2436"/>
        <w:gridCol w:w="2436"/>
      </w:tblGrid>
      <w:tr w:rsidR="00136ADF" w14:paraId="20D227DE" w14:textId="77777777" w:rsidTr="00136ADF">
        <w:trPr>
          <w:jc w:val="center"/>
        </w:trPr>
        <w:tc>
          <w:tcPr>
            <w:tcW w:w="2436" w:type="dxa"/>
            <w:tcBorders>
              <w:bottom w:val="single" w:sz="4" w:space="0" w:color="auto"/>
            </w:tcBorders>
          </w:tcPr>
          <w:p w14:paraId="27D44E1D" w14:textId="6CC489E1" w:rsidR="00136ADF" w:rsidRPr="00136ADF" w:rsidRDefault="00136ADF" w:rsidP="00A06A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ADF">
              <w:rPr>
                <w:rFonts w:ascii="Times New Roman" w:hAnsi="Times New Roman" w:cs="Times New Roman"/>
                <w:b/>
              </w:rPr>
              <w:t>Compound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16C57831" w14:textId="1F71EA9D" w:rsidR="00136ADF" w:rsidRPr="00136ADF" w:rsidRDefault="00136ADF" w:rsidP="00A06AE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36ADF">
              <w:rPr>
                <w:rFonts w:ascii="Times New Roman" w:hAnsi="Times New Roman" w:cs="Times New Roman"/>
                <w:b/>
                <w:i/>
              </w:rPr>
              <w:t>d</w:t>
            </w:r>
            <w:proofErr w:type="gramEnd"/>
            <w:r w:rsidRPr="00136ADF">
              <w:rPr>
                <w:rFonts w:ascii="Times New Roman" w:hAnsi="Times New Roman" w:cs="Times New Roman"/>
                <w:b/>
              </w:rPr>
              <w:t>-electron count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30A0B87C" w14:textId="1D038D7D" w:rsidR="00136ADF" w:rsidRPr="00136ADF" w:rsidRDefault="00136ADF" w:rsidP="00A06AE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36ADF">
              <w:rPr>
                <w:rFonts w:ascii="Times New Roman" w:hAnsi="Times New Roman" w:cs="Times New Roman"/>
                <w:b/>
              </w:rPr>
              <w:t>overall</w:t>
            </w:r>
            <w:proofErr w:type="gramEnd"/>
            <w:r w:rsidRPr="00136ADF">
              <w:rPr>
                <w:rFonts w:ascii="Times New Roman" w:hAnsi="Times New Roman" w:cs="Times New Roman"/>
                <w:b/>
              </w:rPr>
              <w:t xml:space="preserve"> e</w:t>
            </w:r>
            <w:r w:rsidRPr="00136ADF">
              <w:rPr>
                <w:rFonts w:ascii="Times New Roman" w:hAnsi="Times New Roman" w:cs="Times New Roman"/>
                <w:b/>
                <w:vertAlign w:val="superscript"/>
              </w:rPr>
              <w:t>–</w:t>
            </w:r>
            <w:r w:rsidRPr="00136ADF">
              <w:rPr>
                <w:rFonts w:ascii="Times New Roman" w:hAnsi="Times New Roman" w:cs="Times New Roman"/>
                <w:b/>
              </w:rPr>
              <w:t xml:space="preserve"> count</w:t>
            </w:r>
          </w:p>
        </w:tc>
      </w:tr>
      <w:tr w:rsidR="00136ADF" w14:paraId="64493842" w14:textId="77777777" w:rsidTr="00136ADF">
        <w:trPr>
          <w:jc w:val="center"/>
        </w:trPr>
        <w:tc>
          <w:tcPr>
            <w:tcW w:w="2436" w:type="dxa"/>
            <w:tcBorders>
              <w:top w:val="single" w:sz="4" w:space="0" w:color="auto"/>
            </w:tcBorders>
          </w:tcPr>
          <w:p w14:paraId="395039AE" w14:textId="532C2060" w:rsidR="00136ADF" w:rsidRPr="00136ADF" w:rsidRDefault="00136ADF" w:rsidP="00A06A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AD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36" w:type="dxa"/>
            <w:tcBorders>
              <w:top w:val="single" w:sz="4" w:space="0" w:color="auto"/>
            </w:tcBorders>
          </w:tcPr>
          <w:p w14:paraId="55C18D5E" w14:textId="77777777" w:rsidR="00136ADF" w:rsidRDefault="00136ADF" w:rsidP="00A06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</w:tcBorders>
          </w:tcPr>
          <w:p w14:paraId="7D594216" w14:textId="77777777" w:rsidR="00136ADF" w:rsidRDefault="00136ADF" w:rsidP="00A06A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ADF" w14:paraId="3D149117" w14:textId="77777777" w:rsidTr="00136ADF">
        <w:trPr>
          <w:jc w:val="center"/>
        </w:trPr>
        <w:tc>
          <w:tcPr>
            <w:tcW w:w="2436" w:type="dxa"/>
          </w:tcPr>
          <w:p w14:paraId="680015F7" w14:textId="5EE2F7FD" w:rsidR="00136ADF" w:rsidRPr="00136ADF" w:rsidRDefault="00136ADF" w:rsidP="00A06A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AD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436" w:type="dxa"/>
          </w:tcPr>
          <w:p w14:paraId="66578456" w14:textId="77777777" w:rsidR="00136ADF" w:rsidRDefault="00136ADF" w:rsidP="00A06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</w:tcPr>
          <w:p w14:paraId="467CCEC1" w14:textId="77777777" w:rsidR="00136ADF" w:rsidRDefault="00136ADF" w:rsidP="00A06A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ADF" w14:paraId="604CD065" w14:textId="77777777" w:rsidTr="00136ADF">
        <w:trPr>
          <w:jc w:val="center"/>
        </w:trPr>
        <w:tc>
          <w:tcPr>
            <w:tcW w:w="2436" w:type="dxa"/>
          </w:tcPr>
          <w:p w14:paraId="590EE410" w14:textId="44507B14" w:rsidR="00136ADF" w:rsidRPr="00136ADF" w:rsidRDefault="00136ADF" w:rsidP="00A06A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AD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436" w:type="dxa"/>
          </w:tcPr>
          <w:p w14:paraId="2B50294F" w14:textId="77777777" w:rsidR="00136ADF" w:rsidRDefault="00136ADF" w:rsidP="00A06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</w:tcPr>
          <w:p w14:paraId="3D4D79F7" w14:textId="77777777" w:rsidR="00136ADF" w:rsidRDefault="00136ADF" w:rsidP="00A06A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ADF" w14:paraId="32CC9032" w14:textId="77777777" w:rsidTr="00136ADF">
        <w:trPr>
          <w:jc w:val="center"/>
        </w:trPr>
        <w:tc>
          <w:tcPr>
            <w:tcW w:w="2436" w:type="dxa"/>
          </w:tcPr>
          <w:p w14:paraId="7DE3A075" w14:textId="5E8E83C2" w:rsidR="00136ADF" w:rsidRPr="00136ADF" w:rsidRDefault="00136ADF" w:rsidP="00A06A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AD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436" w:type="dxa"/>
          </w:tcPr>
          <w:p w14:paraId="208FACAE" w14:textId="77777777" w:rsidR="00136ADF" w:rsidRDefault="00136ADF" w:rsidP="00A06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</w:tcPr>
          <w:p w14:paraId="42E05292" w14:textId="77777777" w:rsidR="00136ADF" w:rsidRDefault="00136ADF" w:rsidP="00A06A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36D3963" w14:textId="77777777" w:rsidR="00136ADF" w:rsidRDefault="00136ADF" w:rsidP="00136ADF">
      <w:pPr>
        <w:rPr>
          <w:rFonts w:ascii="Times New Roman" w:hAnsi="Times New Roman" w:cs="Times New Roman"/>
        </w:rPr>
      </w:pPr>
    </w:p>
    <w:p w14:paraId="27BE187B" w14:textId="0E67F43A" w:rsidR="00136ADF" w:rsidRDefault="00136ADF" w:rsidP="00136A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the metal undergo redox chemistry</w:t>
      </w:r>
      <w:r w:rsidR="006762F5">
        <w:rPr>
          <w:rFonts w:ascii="Times New Roman" w:hAnsi="Times New Roman" w:cs="Times New Roman"/>
        </w:rPr>
        <w:t xml:space="preserve"> due to changes in ligand protonation</w:t>
      </w:r>
      <w:r>
        <w:rPr>
          <w:rFonts w:ascii="Times New Roman" w:hAnsi="Times New Roman" w:cs="Times New Roman"/>
        </w:rPr>
        <w:t>?</w:t>
      </w:r>
    </w:p>
    <w:p w14:paraId="42BDE446" w14:textId="77777777" w:rsidR="00136ADF" w:rsidRDefault="00136ADF" w:rsidP="00136ADF">
      <w:pPr>
        <w:rPr>
          <w:rFonts w:ascii="Times New Roman" w:hAnsi="Times New Roman" w:cs="Times New Roman"/>
        </w:rPr>
      </w:pPr>
    </w:p>
    <w:p w14:paraId="308B7BFC" w14:textId="77777777" w:rsidR="00136ADF" w:rsidRDefault="00136ADF" w:rsidP="00136ADF">
      <w:pPr>
        <w:rPr>
          <w:rFonts w:ascii="Times New Roman" w:hAnsi="Times New Roman" w:cs="Times New Roman"/>
        </w:rPr>
      </w:pPr>
    </w:p>
    <w:p w14:paraId="7220517A" w14:textId="5CE2BAD7" w:rsidR="00136ADF" w:rsidRPr="00F97CE3" w:rsidRDefault="00136ADF" w:rsidP="00136A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the metal-ligand bonding change throughout the proton cascade?</w:t>
      </w:r>
    </w:p>
    <w:p w14:paraId="656A5B6A" w14:textId="77777777" w:rsidR="00136ADF" w:rsidRDefault="00136AD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3C41D05E" w14:textId="77777777" w:rsidR="00136ADF" w:rsidRDefault="00136ADF" w:rsidP="00AD1E3E">
      <w:pPr>
        <w:rPr>
          <w:rFonts w:ascii="Times New Roman" w:hAnsi="Times New Roman" w:cs="Times New Roman"/>
          <w:b/>
        </w:rPr>
      </w:pPr>
    </w:p>
    <w:p w14:paraId="43E37E57" w14:textId="77777777" w:rsidR="00136ADF" w:rsidRDefault="00136ADF" w:rsidP="00AD1E3E">
      <w:pPr>
        <w:rPr>
          <w:rFonts w:ascii="Times New Roman" w:hAnsi="Times New Roman" w:cs="Times New Roman"/>
          <w:b/>
        </w:rPr>
      </w:pPr>
    </w:p>
    <w:p w14:paraId="0972A16E" w14:textId="77777777" w:rsidR="00136ADF" w:rsidRDefault="00136ADF" w:rsidP="00AD1E3E">
      <w:pPr>
        <w:rPr>
          <w:rFonts w:ascii="Times New Roman" w:hAnsi="Times New Roman" w:cs="Times New Roman"/>
          <w:b/>
        </w:rPr>
      </w:pPr>
    </w:p>
    <w:p w14:paraId="0DA7B9ED" w14:textId="77777777" w:rsidR="00136ADF" w:rsidRDefault="00136ADF" w:rsidP="00AD1E3E">
      <w:pPr>
        <w:rPr>
          <w:rFonts w:ascii="Times New Roman" w:hAnsi="Times New Roman" w:cs="Times New Roman"/>
          <w:b/>
        </w:rPr>
      </w:pPr>
    </w:p>
    <w:p w14:paraId="76947F14" w14:textId="77777777" w:rsidR="00136ADF" w:rsidRDefault="00136ADF" w:rsidP="00AD1E3E">
      <w:pPr>
        <w:rPr>
          <w:rFonts w:ascii="Times New Roman" w:hAnsi="Times New Roman" w:cs="Times New Roman"/>
          <w:b/>
        </w:rPr>
      </w:pPr>
    </w:p>
    <w:p w14:paraId="39DC1522" w14:textId="77777777" w:rsidR="00136ADF" w:rsidRDefault="00136ADF" w:rsidP="00AD1E3E">
      <w:pPr>
        <w:rPr>
          <w:rFonts w:ascii="Times New Roman" w:hAnsi="Times New Roman" w:cs="Times New Roman"/>
          <w:b/>
        </w:rPr>
      </w:pPr>
    </w:p>
    <w:p w14:paraId="4B237E5C" w14:textId="77777777" w:rsidR="00136ADF" w:rsidRDefault="00136ADF" w:rsidP="00AD1E3E">
      <w:pPr>
        <w:rPr>
          <w:rFonts w:ascii="Times New Roman" w:hAnsi="Times New Roman" w:cs="Times New Roman"/>
          <w:b/>
        </w:rPr>
      </w:pPr>
    </w:p>
    <w:p w14:paraId="2BB3746D" w14:textId="77777777" w:rsidR="00136ADF" w:rsidRDefault="00136ADF" w:rsidP="00AD1E3E">
      <w:pPr>
        <w:rPr>
          <w:rFonts w:ascii="Times New Roman" w:hAnsi="Times New Roman" w:cs="Times New Roman"/>
          <w:b/>
        </w:rPr>
      </w:pPr>
    </w:p>
    <w:p w14:paraId="1E864DBF" w14:textId="77777777" w:rsidR="00136ADF" w:rsidRDefault="00136ADF" w:rsidP="00AD1E3E">
      <w:pPr>
        <w:rPr>
          <w:rFonts w:ascii="Times New Roman" w:hAnsi="Times New Roman" w:cs="Times New Roman"/>
          <w:b/>
        </w:rPr>
      </w:pPr>
    </w:p>
    <w:p w14:paraId="21614B31" w14:textId="77777777" w:rsidR="00136ADF" w:rsidRDefault="00136ADF" w:rsidP="00AD1E3E">
      <w:pPr>
        <w:rPr>
          <w:rFonts w:ascii="Times New Roman" w:hAnsi="Times New Roman" w:cs="Times New Roman"/>
          <w:b/>
        </w:rPr>
      </w:pPr>
    </w:p>
    <w:p w14:paraId="2C8E501F" w14:textId="77777777" w:rsidR="00136ADF" w:rsidRDefault="00136ADF" w:rsidP="00AD1E3E">
      <w:pPr>
        <w:rPr>
          <w:rFonts w:ascii="Times New Roman" w:hAnsi="Times New Roman" w:cs="Times New Roman"/>
          <w:b/>
        </w:rPr>
      </w:pPr>
    </w:p>
    <w:p w14:paraId="6AA48D60" w14:textId="77777777" w:rsidR="00136ADF" w:rsidRDefault="00136ADF" w:rsidP="00AD1E3E">
      <w:pPr>
        <w:rPr>
          <w:rFonts w:ascii="Times New Roman" w:hAnsi="Times New Roman" w:cs="Times New Roman"/>
          <w:b/>
        </w:rPr>
      </w:pPr>
    </w:p>
    <w:p w14:paraId="45D08D17" w14:textId="77777777" w:rsidR="00136ADF" w:rsidRDefault="00136ADF" w:rsidP="00AD1E3E">
      <w:pPr>
        <w:rPr>
          <w:rFonts w:ascii="Times New Roman" w:hAnsi="Times New Roman" w:cs="Times New Roman"/>
          <w:b/>
        </w:rPr>
      </w:pPr>
    </w:p>
    <w:p w14:paraId="6CC196CD" w14:textId="77777777" w:rsidR="00136ADF" w:rsidRDefault="00136ADF" w:rsidP="00AD1E3E">
      <w:pPr>
        <w:rPr>
          <w:rFonts w:ascii="Times New Roman" w:hAnsi="Times New Roman" w:cs="Times New Roman"/>
          <w:b/>
        </w:rPr>
      </w:pPr>
    </w:p>
    <w:p w14:paraId="59C32271" w14:textId="77777777" w:rsidR="00136ADF" w:rsidRDefault="00136ADF" w:rsidP="00AD1E3E">
      <w:pPr>
        <w:rPr>
          <w:rFonts w:ascii="Times New Roman" w:hAnsi="Times New Roman" w:cs="Times New Roman"/>
          <w:b/>
        </w:rPr>
      </w:pPr>
    </w:p>
    <w:p w14:paraId="2E0D3F84" w14:textId="77777777" w:rsidR="00136ADF" w:rsidRDefault="00136ADF" w:rsidP="00AD1E3E">
      <w:pPr>
        <w:rPr>
          <w:rFonts w:ascii="Times New Roman" w:hAnsi="Times New Roman" w:cs="Times New Roman"/>
          <w:b/>
        </w:rPr>
      </w:pPr>
    </w:p>
    <w:p w14:paraId="4D4A6519" w14:textId="77777777" w:rsidR="00136ADF" w:rsidRDefault="00136ADF" w:rsidP="00AD1E3E">
      <w:pPr>
        <w:rPr>
          <w:rFonts w:ascii="Times New Roman" w:hAnsi="Times New Roman" w:cs="Times New Roman"/>
          <w:b/>
        </w:rPr>
      </w:pPr>
    </w:p>
    <w:p w14:paraId="3A154820" w14:textId="77777777" w:rsidR="00136ADF" w:rsidRDefault="00136ADF" w:rsidP="00AD1E3E">
      <w:pPr>
        <w:rPr>
          <w:rFonts w:ascii="Times New Roman" w:hAnsi="Times New Roman" w:cs="Times New Roman"/>
          <w:b/>
        </w:rPr>
      </w:pPr>
    </w:p>
    <w:p w14:paraId="5D7CB782" w14:textId="77777777" w:rsidR="00136ADF" w:rsidRDefault="00136ADF" w:rsidP="00AD1E3E">
      <w:pPr>
        <w:rPr>
          <w:rFonts w:ascii="Times New Roman" w:hAnsi="Times New Roman" w:cs="Times New Roman"/>
          <w:b/>
        </w:rPr>
      </w:pPr>
    </w:p>
    <w:p w14:paraId="1498E5CC" w14:textId="77777777" w:rsidR="00136ADF" w:rsidRDefault="00136ADF" w:rsidP="00AD1E3E">
      <w:pPr>
        <w:rPr>
          <w:rFonts w:ascii="Times New Roman" w:hAnsi="Times New Roman" w:cs="Times New Roman"/>
          <w:b/>
        </w:rPr>
      </w:pPr>
    </w:p>
    <w:p w14:paraId="48B48858" w14:textId="77777777" w:rsidR="00136ADF" w:rsidRDefault="00136ADF" w:rsidP="00AD1E3E">
      <w:pPr>
        <w:rPr>
          <w:rFonts w:ascii="Times New Roman" w:hAnsi="Times New Roman" w:cs="Times New Roman"/>
          <w:b/>
        </w:rPr>
      </w:pPr>
    </w:p>
    <w:p w14:paraId="50DF6B83" w14:textId="77777777" w:rsidR="00136ADF" w:rsidRDefault="00136ADF" w:rsidP="00AD1E3E">
      <w:pPr>
        <w:rPr>
          <w:rFonts w:ascii="Times New Roman" w:hAnsi="Times New Roman" w:cs="Times New Roman"/>
          <w:b/>
        </w:rPr>
      </w:pPr>
    </w:p>
    <w:p w14:paraId="262C6EBD" w14:textId="77777777" w:rsidR="00136ADF" w:rsidRDefault="00136ADF" w:rsidP="00AD1E3E">
      <w:pPr>
        <w:rPr>
          <w:rFonts w:ascii="Times New Roman" w:hAnsi="Times New Roman" w:cs="Times New Roman"/>
          <w:b/>
        </w:rPr>
      </w:pPr>
    </w:p>
    <w:p w14:paraId="11A0FC97" w14:textId="77777777" w:rsidR="00136ADF" w:rsidRDefault="00136ADF" w:rsidP="00AD1E3E">
      <w:pPr>
        <w:rPr>
          <w:rFonts w:ascii="Times New Roman" w:hAnsi="Times New Roman" w:cs="Times New Roman"/>
          <w:b/>
        </w:rPr>
      </w:pPr>
    </w:p>
    <w:p w14:paraId="6806DB9C" w14:textId="77777777" w:rsidR="00136ADF" w:rsidRDefault="00136ADF" w:rsidP="00AD1E3E">
      <w:pPr>
        <w:rPr>
          <w:rFonts w:ascii="Times New Roman" w:hAnsi="Times New Roman" w:cs="Times New Roman"/>
          <w:b/>
        </w:rPr>
      </w:pPr>
    </w:p>
    <w:p w14:paraId="6A23D6B2" w14:textId="77777777" w:rsidR="00136ADF" w:rsidRDefault="00136ADF" w:rsidP="00AD1E3E">
      <w:pPr>
        <w:rPr>
          <w:rFonts w:ascii="Times New Roman" w:hAnsi="Times New Roman" w:cs="Times New Roman"/>
          <w:b/>
        </w:rPr>
      </w:pPr>
    </w:p>
    <w:p w14:paraId="7BF0617F" w14:textId="77777777" w:rsidR="00136ADF" w:rsidRDefault="00136ADF" w:rsidP="00AD1E3E">
      <w:pPr>
        <w:rPr>
          <w:rFonts w:ascii="Times New Roman" w:hAnsi="Times New Roman" w:cs="Times New Roman"/>
          <w:b/>
        </w:rPr>
      </w:pPr>
    </w:p>
    <w:p w14:paraId="4FD9487C" w14:textId="77777777" w:rsidR="00136ADF" w:rsidRDefault="00136ADF" w:rsidP="00AD1E3E">
      <w:pPr>
        <w:rPr>
          <w:rFonts w:ascii="Times New Roman" w:hAnsi="Times New Roman" w:cs="Times New Roman"/>
          <w:b/>
        </w:rPr>
      </w:pPr>
    </w:p>
    <w:p w14:paraId="5DBEA6EB" w14:textId="77777777" w:rsidR="00136ADF" w:rsidRDefault="00136ADF" w:rsidP="00AD1E3E">
      <w:pPr>
        <w:rPr>
          <w:rFonts w:ascii="Times New Roman" w:hAnsi="Times New Roman" w:cs="Times New Roman"/>
          <w:b/>
        </w:rPr>
      </w:pPr>
    </w:p>
    <w:p w14:paraId="76167875" w14:textId="77777777" w:rsidR="00136ADF" w:rsidRDefault="00136ADF" w:rsidP="00AD1E3E">
      <w:pPr>
        <w:rPr>
          <w:rFonts w:ascii="Times New Roman" w:hAnsi="Times New Roman" w:cs="Times New Roman"/>
          <w:b/>
        </w:rPr>
      </w:pPr>
    </w:p>
    <w:p w14:paraId="571820B5" w14:textId="77777777" w:rsidR="00136ADF" w:rsidRDefault="00136ADF" w:rsidP="00AD1E3E">
      <w:pPr>
        <w:rPr>
          <w:rFonts w:ascii="Times New Roman" w:hAnsi="Times New Roman" w:cs="Times New Roman"/>
          <w:b/>
        </w:rPr>
      </w:pPr>
    </w:p>
    <w:p w14:paraId="53AB9180" w14:textId="77777777" w:rsidR="00136ADF" w:rsidRDefault="00136ADF" w:rsidP="00AD1E3E">
      <w:pPr>
        <w:rPr>
          <w:rFonts w:ascii="Times New Roman" w:hAnsi="Times New Roman" w:cs="Times New Roman"/>
          <w:b/>
        </w:rPr>
      </w:pPr>
    </w:p>
    <w:p w14:paraId="77F9BBDB" w14:textId="77777777" w:rsidR="00136ADF" w:rsidRDefault="00136ADF" w:rsidP="00AD1E3E">
      <w:pPr>
        <w:rPr>
          <w:rFonts w:ascii="Times New Roman" w:hAnsi="Times New Roman" w:cs="Times New Roman"/>
          <w:b/>
        </w:rPr>
      </w:pPr>
    </w:p>
    <w:p w14:paraId="46E3C7AF" w14:textId="77777777" w:rsidR="00136ADF" w:rsidRDefault="00136ADF" w:rsidP="00AD1E3E">
      <w:pPr>
        <w:rPr>
          <w:rFonts w:ascii="Times New Roman" w:hAnsi="Times New Roman" w:cs="Times New Roman"/>
          <w:b/>
        </w:rPr>
      </w:pPr>
    </w:p>
    <w:p w14:paraId="290EA8D6" w14:textId="77777777" w:rsidR="00136ADF" w:rsidRDefault="00136ADF" w:rsidP="00AD1E3E">
      <w:pPr>
        <w:rPr>
          <w:rFonts w:ascii="Times New Roman" w:hAnsi="Times New Roman" w:cs="Times New Roman"/>
          <w:b/>
        </w:rPr>
      </w:pPr>
    </w:p>
    <w:p w14:paraId="0B2371E3" w14:textId="77777777" w:rsidR="006762F5" w:rsidRDefault="006762F5" w:rsidP="00AD1E3E">
      <w:pPr>
        <w:rPr>
          <w:rFonts w:ascii="Times New Roman" w:hAnsi="Times New Roman" w:cs="Times New Roman"/>
          <w:b/>
        </w:rPr>
      </w:pPr>
    </w:p>
    <w:p w14:paraId="3FD63EEA" w14:textId="77777777" w:rsidR="006762F5" w:rsidRDefault="006762F5" w:rsidP="00AD1E3E">
      <w:pPr>
        <w:rPr>
          <w:rFonts w:ascii="Times New Roman" w:hAnsi="Times New Roman" w:cs="Times New Roman"/>
          <w:b/>
        </w:rPr>
      </w:pPr>
    </w:p>
    <w:p w14:paraId="634C7E4F" w14:textId="1C618CFC" w:rsidR="00F97CE3" w:rsidRPr="00F97CE3" w:rsidRDefault="00F97CE3" w:rsidP="00AD1E3E">
      <w:pPr>
        <w:rPr>
          <w:rFonts w:ascii="Times New Roman" w:hAnsi="Times New Roman" w:cs="Times New Roman"/>
          <w:b/>
        </w:rPr>
      </w:pPr>
      <w:r w:rsidRPr="00F97CE3">
        <w:rPr>
          <w:rFonts w:ascii="Times New Roman" w:hAnsi="Times New Roman" w:cs="Times New Roman"/>
          <w:b/>
        </w:rPr>
        <w:t>References</w:t>
      </w:r>
    </w:p>
    <w:p w14:paraId="7F9DB2D0" w14:textId="67260958" w:rsidR="00AD1E3E" w:rsidRPr="006762F5" w:rsidRDefault="00AD1E3E" w:rsidP="00AD1E3E">
      <w:pPr>
        <w:rPr>
          <w:rFonts w:ascii="Times New Roman" w:hAnsi="Times New Roman" w:cs="Times New Roman"/>
          <w:sz w:val="20"/>
          <w:szCs w:val="20"/>
        </w:rPr>
      </w:pPr>
      <w:r w:rsidRPr="006762F5">
        <w:rPr>
          <w:rFonts w:ascii="Times New Roman" w:hAnsi="Times New Roman" w:cs="Times New Roman"/>
          <w:sz w:val="20"/>
          <w:szCs w:val="20"/>
        </w:rPr>
        <w:t>1. Moore, C</w:t>
      </w:r>
      <w:r w:rsidR="006762F5">
        <w:rPr>
          <w:rFonts w:ascii="Times New Roman" w:hAnsi="Times New Roman" w:cs="Times New Roman"/>
          <w:sz w:val="20"/>
          <w:szCs w:val="20"/>
        </w:rPr>
        <w:t>.</w:t>
      </w:r>
      <w:r w:rsidRPr="006762F5">
        <w:rPr>
          <w:rFonts w:ascii="Times New Roman" w:hAnsi="Times New Roman" w:cs="Times New Roman"/>
          <w:sz w:val="20"/>
          <w:szCs w:val="20"/>
        </w:rPr>
        <w:t xml:space="preserve"> M.; Dahl, E</w:t>
      </w:r>
      <w:r w:rsidR="006762F5">
        <w:rPr>
          <w:rFonts w:ascii="Times New Roman" w:hAnsi="Times New Roman" w:cs="Times New Roman"/>
          <w:sz w:val="20"/>
          <w:szCs w:val="20"/>
        </w:rPr>
        <w:t>.</w:t>
      </w:r>
      <w:r w:rsidRPr="006762F5">
        <w:rPr>
          <w:rFonts w:ascii="Times New Roman" w:hAnsi="Times New Roman" w:cs="Times New Roman"/>
          <w:sz w:val="20"/>
          <w:szCs w:val="20"/>
        </w:rPr>
        <w:t xml:space="preserve"> W.; </w:t>
      </w:r>
      <w:proofErr w:type="spellStart"/>
      <w:r w:rsidRPr="006762F5">
        <w:rPr>
          <w:rFonts w:ascii="Times New Roman" w:hAnsi="Times New Roman" w:cs="Times New Roman"/>
          <w:sz w:val="20"/>
          <w:szCs w:val="20"/>
        </w:rPr>
        <w:t>Szymczak</w:t>
      </w:r>
      <w:proofErr w:type="spellEnd"/>
      <w:r w:rsidRPr="006762F5">
        <w:rPr>
          <w:rFonts w:ascii="Times New Roman" w:hAnsi="Times New Roman" w:cs="Times New Roman"/>
          <w:sz w:val="20"/>
          <w:szCs w:val="20"/>
        </w:rPr>
        <w:t>, N</w:t>
      </w:r>
      <w:r w:rsidR="006762F5">
        <w:rPr>
          <w:rFonts w:ascii="Times New Roman" w:hAnsi="Times New Roman" w:cs="Times New Roman"/>
          <w:sz w:val="20"/>
          <w:szCs w:val="20"/>
        </w:rPr>
        <w:t>.</w:t>
      </w:r>
      <w:r w:rsidRPr="006762F5">
        <w:rPr>
          <w:rFonts w:ascii="Times New Roman" w:hAnsi="Times New Roman" w:cs="Times New Roman"/>
          <w:sz w:val="20"/>
          <w:szCs w:val="20"/>
        </w:rPr>
        <w:t xml:space="preserve"> K. </w:t>
      </w:r>
      <w:proofErr w:type="spellStart"/>
      <w:r w:rsidRPr="006762F5">
        <w:rPr>
          <w:rFonts w:ascii="Times New Roman" w:hAnsi="Times New Roman" w:cs="Times New Roman"/>
          <w:i/>
          <w:sz w:val="20"/>
          <w:szCs w:val="20"/>
        </w:rPr>
        <w:t>Curr</w:t>
      </w:r>
      <w:proofErr w:type="spellEnd"/>
      <w:r w:rsidRPr="006762F5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6762F5">
        <w:rPr>
          <w:rFonts w:ascii="Times New Roman" w:hAnsi="Times New Roman" w:cs="Times New Roman"/>
          <w:i/>
          <w:sz w:val="20"/>
          <w:szCs w:val="20"/>
        </w:rPr>
        <w:t>Opin</w:t>
      </w:r>
      <w:proofErr w:type="spellEnd"/>
      <w:r w:rsidRPr="006762F5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gramStart"/>
      <w:r w:rsidRPr="006762F5">
        <w:rPr>
          <w:rFonts w:ascii="Times New Roman" w:hAnsi="Times New Roman" w:cs="Times New Roman"/>
          <w:i/>
          <w:sz w:val="20"/>
          <w:szCs w:val="20"/>
        </w:rPr>
        <w:t>Chem. Biol.</w:t>
      </w:r>
      <w:r w:rsidRPr="006762F5">
        <w:rPr>
          <w:rFonts w:ascii="Times New Roman" w:hAnsi="Times New Roman" w:cs="Times New Roman"/>
          <w:sz w:val="20"/>
          <w:szCs w:val="20"/>
        </w:rPr>
        <w:t xml:space="preserve"> </w:t>
      </w:r>
      <w:r w:rsidRPr="006762F5">
        <w:rPr>
          <w:rFonts w:ascii="Times New Roman" w:hAnsi="Times New Roman" w:cs="Times New Roman"/>
          <w:b/>
          <w:sz w:val="20"/>
          <w:szCs w:val="20"/>
        </w:rPr>
        <w:t>2015</w:t>
      </w:r>
      <w:r w:rsidRPr="006762F5">
        <w:rPr>
          <w:rFonts w:ascii="Times New Roman" w:hAnsi="Times New Roman" w:cs="Times New Roman"/>
          <w:sz w:val="20"/>
          <w:szCs w:val="20"/>
        </w:rPr>
        <w:t xml:space="preserve">, </w:t>
      </w:r>
      <w:r w:rsidRPr="006762F5">
        <w:rPr>
          <w:rFonts w:ascii="Times New Roman" w:hAnsi="Times New Roman" w:cs="Times New Roman"/>
          <w:i/>
          <w:sz w:val="20"/>
          <w:szCs w:val="20"/>
        </w:rPr>
        <w:t>25</w:t>
      </w:r>
      <w:r w:rsidRPr="006762F5">
        <w:rPr>
          <w:rFonts w:ascii="Times New Roman" w:hAnsi="Times New Roman" w:cs="Times New Roman"/>
          <w:sz w:val="20"/>
          <w:szCs w:val="20"/>
        </w:rPr>
        <w:t>, 9-17 (</w:t>
      </w:r>
      <w:proofErr w:type="spellStart"/>
      <w:r w:rsidRPr="006762F5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Pr="006762F5">
        <w:rPr>
          <w:rFonts w:ascii="Times New Roman" w:hAnsi="Times New Roman" w:cs="Times New Roman"/>
          <w:sz w:val="20"/>
          <w:szCs w:val="20"/>
        </w:rPr>
        <w:t>: 10.1016/j.cbpa.2014.11.012).</w:t>
      </w:r>
      <w:proofErr w:type="gramEnd"/>
    </w:p>
    <w:p w14:paraId="5FE1E19A" w14:textId="3838440D" w:rsidR="00AD1E3E" w:rsidRPr="006762F5" w:rsidRDefault="00AD1E3E" w:rsidP="00AD1E3E">
      <w:pPr>
        <w:rPr>
          <w:rFonts w:ascii="Times New Roman" w:hAnsi="Times New Roman" w:cs="Times New Roman"/>
          <w:sz w:val="20"/>
          <w:szCs w:val="20"/>
        </w:rPr>
      </w:pPr>
      <w:r w:rsidRPr="006762F5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Pr="006762F5">
        <w:rPr>
          <w:rFonts w:ascii="Times New Roman" w:hAnsi="Times New Roman" w:cs="Times New Roman"/>
          <w:sz w:val="20"/>
          <w:szCs w:val="20"/>
        </w:rPr>
        <w:t>Tomon</w:t>
      </w:r>
      <w:proofErr w:type="spellEnd"/>
      <w:r w:rsidRPr="006762F5">
        <w:rPr>
          <w:rFonts w:ascii="Times New Roman" w:hAnsi="Times New Roman" w:cs="Times New Roman"/>
          <w:sz w:val="20"/>
          <w:szCs w:val="20"/>
        </w:rPr>
        <w:t>, T</w:t>
      </w:r>
      <w:r w:rsidR="006762F5">
        <w:rPr>
          <w:rFonts w:ascii="Times New Roman" w:hAnsi="Times New Roman" w:cs="Times New Roman"/>
          <w:sz w:val="20"/>
          <w:szCs w:val="20"/>
        </w:rPr>
        <w:t>.</w:t>
      </w:r>
      <w:r w:rsidRPr="006762F5">
        <w:rPr>
          <w:rFonts w:ascii="Times New Roman" w:hAnsi="Times New Roman" w:cs="Times New Roman"/>
          <w:sz w:val="20"/>
          <w:szCs w:val="20"/>
        </w:rPr>
        <w:t>; Koizumi, T</w:t>
      </w:r>
      <w:r w:rsidR="006762F5">
        <w:rPr>
          <w:rFonts w:ascii="Times New Roman" w:hAnsi="Times New Roman" w:cs="Times New Roman"/>
          <w:sz w:val="20"/>
          <w:szCs w:val="20"/>
        </w:rPr>
        <w:t>.</w:t>
      </w:r>
      <w:r w:rsidRPr="006762F5">
        <w:rPr>
          <w:rFonts w:ascii="Times New Roman" w:hAnsi="Times New Roman" w:cs="Times New Roman"/>
          <w:sz w:val="20"/>
          <w:szCs w:val="20"/>
        </w:rPr>
        <w:t xml:space="preserve">; Tanaka, K. </w:t>
      </w:r>
      <w:r w:rsidRPr="006762F5">
        <w:rPr>
          <w:rFonts w:ascii="Times New Roman" w:hAnsi="Times New Roman" w:cs="Times New Roman"/>
          <w:i/>
          <w:sz w:val="20"/>
          <w:szCs w:val="20"/>
        </w:rPr>
        <w:t xml:space="preserve">Eur. J. </w:t>
      </w:r>
      <w:proofErr w:type="spellStart"/>
      <w:r w:rsidRPr="006762F5">
        <w:rPr>
          <w:rFonts w:ascii="Times New Roman" w:hAnsi="Times New Roman" w:cs="Times New Roman"/>
          <w:i/>
          <w:sz w:val="20"/>
          <w:szCs w:val="20"/>
        </w:rPr>
        <w:t>Inorg</w:t>
      </w:r>
      <w:proofErr w:type="spellEnd"/>
      <w:r w:rsidRPr="006762F5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gramStart"/>
      <w:r w:rsidRPr="006762F5">
        <w:rPr>
          <w:rFonts w:ascii="Times New Roman" w:hAnsi="Times New Roman" w:cs="Times New Roman"/>
          <w:i/>
          <w:sz w:val="20"/>
          <w:szCs w:val="20"/>
        </w:rPr>
        <w:t>Chem.</w:t>
      </w:r>
      <w:r w:rsidRPr="006762F5">
        <w:rPr>
          <w:rFonts w:ascii="Times New Roman" w:hAnsi="Times New Roman" w:cs="Times New Roman"/>
          <w:sz w:val="20"/>
          <w:szCs w:val="20"/>
        </w:rPr>
        <w:t xml:space="preserve"> </w:t>
      </w:r>
      <w:r w:rsidRPr="006762F5">
        <w:rPr>
          <w:rFonts w:ascii="Times New Roman" w:hAnsi="Times New Roman" w:cs="Times New Roman"/>
          <w:b/>
          <w:sz w:val="20"/>
          <w:szCs w:val="20"/>
        </w:rPr>
        <w:t>2005</w:t>
      </w:r>
      <w:r w:rsidRPr="006762F5">
        <w:rPr>
          <w:rFonts w:ascii="Times New Roman" w:hAnsi="Times New Roman" w:cs="Times New Roman"/>
          <w:sz w:val="20"/>
          <w:szCs w:val="20"/>
        </w:rPr>
        <w:t>, 285-293 (</w:t>
      </w:r>
      <w:proofErr w:type="spellStart"/>
      <w:r w:rsidRPr="006762F5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Pr="006762F5">
        <w:rPr>
          <w:rFonts w:ascii="Times New Roman" w:hAnsi="Times New Roman" w:cs="Times New Roman"/>
          <w:sz w:val="20"/>
          <w:szCs w:val="20"/>
        </w:rPr>
        <w:t>: 10.1002/ejic.200400522).</w:t>
      </w:r>
      <w:proofErr w:type="gramEnd"/>
    </w:p>
    <w:p w14:paraId="7798BD83" w14:textId="21ABD469" w:rsidR="00AD1E3E" w:rsidRPr="006762F5" w:rsidRDefault="00D22D2F" w:rsidP="00AD1E3E">
      <w:pPr>
        <w:rPr>
          <w:rFonts w:ascii="Times New Roman" w:hAnsi="Times New Roman" w:cs="Times New Roman"/>
          <w:sz w:val="20"/>
          <w:szCs w:val="20"/>
        </w:rPr>
      </w:pPr>
      <w:r w:rsidRPr="006762F5">
        <w:rPr>
          <w:rFonts w:ascii="Times New Roman" w:hAnsi="Times New Roman" w:cs="Times New Roman"/>
          <w:sz w:val="20"/>
          <w:szCs w:val="20"/>
        </w:rPr>
        <w:t>3. Geri, J</w:t>
      </w:r>
      <w:r w:rsidR="006762F5">
        <w:rPr>
          <w:rFonts w:ascii="Times New Roman" w:hAnsi="Times New Roman" w:cs="Times New Roman"/>
          <w:sz w:val="20"/>
          <w:szCs w:val="20"/>
        </w:rPr>
        <w:t>.</w:t>
      </w:r>
      <w:r w:rsidRPr="006762F5">
        <w:rPr>
          <w:rFonts w:ascii="Times New Roman" w:hAnsi="Times New Roman" w:cs="Times New Roman"/>
          <w:sz w:val="20"/>
          <w:szCs w:val="20"/>
        </w:rPr>
        <w:t xml:space="preserve"> B.; </w:t>
      </w:r>
      <w:proofErr w:type="spellStart"/>
      <w:r w:rsidRPr="006762F5">
        <w:rPr>
          <w:rFonts w:ascii="Times New Roman" w:hAnsi="Times New Roman" w:cs="Times New Roman"/>
          <w:sz w:val="20"/>
          <w:szCs w:val="20"/>
        </w:rPr>
        <w:t>Szymczak</w:t>
      </w:r>
      <w:proofErr w:type="spellEnd"/>
      <w:r w:rsidRPr="006762F5">
        <w:rPr>
          <w:rFonts w:ascii="Times New Roman" w:hAnsi="Times New Roman" w:cs="Times New Roman"/>
          <w:sz w:val="20"/>
          <w:szCs w:val="20"/>
        </w:rPr>
        <w:t>, N</w:t>
      </w:r>
      <w:r w:rsidR="006762F5">
        <w:rPr>
          <w:rFonts w:ascii="Times New Roman" w:hAnsi="Times New Roman" w:cs="Times New Roman"/>
          <w:sz w:val="20"/>
          <w:szCs w:val="20"/>
        </w:rPr>
        <w:t>.</w:t>
      </w:r>
      <w:r w:rsidRPr="006762F5">
        <w:rPr>
          <w:rFonts w:ascii="Times New Roman" w:hAnsi="Times New Roman" w:cs="Times New Roman"/>
          <w:sz w:val="20"/>
          <w:szCs w:val="20"/>
        </w:rPr>
        <w:t xml:space="preserve"> K. </w:t>
      </w:r>
      <w:r w:rsidRPr="006762F5">
        <w:rPr>
          <w:rFonts w:ascii="Times New Roman" w:hAnsi="Times New Roman" w:cs="Times New Roman"/>
          <w:i/>
          <w:sz w:val="20"/>
          <w:szCs w:val="20"/>
        </w:rPr>
        <w:t>J. Am. Chem. Soc.</w:t>
      </w:r>
      <w:r w:rsidRPr="006762F5">
        <w:rPr>
          <w:rFonts w:ascii="Times New Roman" w:hAnsi="Times New Roman" w:cs="Times New Roman"/>
          <w:sz w:val="20"/>
          <w:szCs w:val="20"/>
        </w:rPr>
        <w:t xml:space="preserve"> </w:t>
      </w:r>
      <w:r w:rsidRPr="006762F5">
        <w:rPr>
          <w:rFonts w:ascii="Times New Roman" w:hAnsi="Times New Roman" w:cs="Times New Roman"/>
          <w:b/>
          <w:sz w:val="20"/>
          <w:szCs w:val="20"/>
        </w:rPr>
        <w:t>2015</w:t>
      </w:r>
      <w:r w:rsidRPr="006762F5">
        <w:rPr>
          <w:rFonts w:ascii="Times New Roman" w:hAnsi="Times New Roman" w:cs="Times New Roman"/>
          <w:sz w:val="20"/>
          <w:szCs w:val="20"/>
        </w:rPr>
        <w:t xml:space="preserve">, </w:t>
      </w:r>
      <w:r w:rsidRPr="006762F5">
        <w:rPr>
          <w:rFonts w:ascii="Times New Roman" w:hAnsi="Times New Roman" w:cs="Times New Roman"/>
          <w:i/>
          <w:sz w:val="20"/>
          <w:szCs w:val="20"/>
        </w:rPr>
        <w:t>137</w:t>
      </w:r>
      <w:r w:rsidRPr="006762F5">
        <w:rPr>
          <w:rFonts w:ascii="Times New Roman" w:hAnsi="Times New Roman" w:cs="Times New Roman"/>
          <w:sz w:val="20"/>
          <w:szCs w:val="20"/>
        </w:rPr>
        <w:t>, 12808-12814 (</w:t>
      </w:r>
      <w:proofErr w:type="spellStart"/>
      <w:r w:rsidRPr="006762F5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Pr="006762F5">
        <w:rPr>
          <w:rFonts w:ascii="Times New Roman" w:hAnsi="Times New Roman" w:cs="Times New Roman"/>
          <w:sz w:val="20"/>
          <w:szCs w:val="20"/>
        </w:rPr>
        <w:t>: 10.1021/jacs.5b08406).</w:t>
      </w:r>
    </w:p>
    <w:sectPr w:rsidR="00AD1E3E" w:rsidRPr="006762F5" w:rsidSect="005F6CA1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FD30D" w14:textId="77777777" w:rsidR="00252975" w:rsidRDefault="00252975" w:rsidP="00AA6958">
      <w:r>
        <w:separator/>
      </w:r>
    </w:p>
  </w:endnote>
  <w:endnote w:type="continuationSeparator" w:id="0">
    <w:p w14:paraId="6B78FE50" w14:textId="77777777" w:rsidR="00252975" w:rsidRDefault="00252975" w:rsidP="00AA6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B33DF" w14:textId="77777777" w:rsidR="00252975" w:rsidRDefault="00252975" w:rsidP="00AA6958">
      <w:r>
        <w:separator/>
      </w:r>
    </w:p>
  </w:footnote>
  <w:footnote w:type="continuationSeparator" w:id="0">
    <w:p w14:paraId="50BA97D6" w14:textId="77777777" w:rsidR="00252975" w:rsidRDefault="00252975" w:rsidP="00AA69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E7051" w14:textId="041E072E" w:rsidR="00252975" w:rsidRDefault="00252975" w:rsidP="00AA6958">
    <w:pPr>
      <w:pStyle w:val="Header"/>
      <w:jc w:val="both"/>
      <w:rPr>
        <w:rFonts w:ascii="Arial" w:eastAsia="Times New Roman" w:hAnsi="Arial" w:cs="Arial"/>
        <w:color w:val="000000"/>
        <w:sz w:val="20"/>
        <w:szCs w:val="20"/>
      </w:rPr>
    </w:pPr>
    <w:r w:rsidRPr="00AA6958">
      <w:rPr>
        <w:rFonts w:ascii="Arial" w:eastAsia="Times New Roman" w:hAnsi="Arial" w:cs="Arial"/>
        <w:color w:val="000000"/>
        <w:sz w:val="20"/>
        <w:szCs w:val="20"/>
      </w:rPr>
      <w:t xml:space="preserve">Created by Mary </w:t>
    </w:r>
    <w:proofErr w:type="spellStart"/>
    <w:r w:rsidRPr="00AA6958">
      <w:rPr>
        <w:rFonts w:ascii="Arial" w:eastAsia="Times New Roman" w:hAnsi="Arial" w:cs="Arial"/>
        <w:color w:val="000000"/>
        <w:sz w:val="20"/>
        <w:szCs w:val="20"/>
      </w:rPr>
      <w:t>Grellier</w:t>
    </w:r>
    <w:proofErr w:type="spellEnd"/>
    <w:r w:rsidRPr="00AA6958">
      <w:rPr>
        <w:rFonts w:ascii="Arial" w:eastAsia="Times New Roman" w:hAnsi="Arial" w:cs="Arial"/>
        <w:color w:val="000000"/>
        <w:sz w:val="20"/>
        <w:szCs w:val="20"/>
      </w:rPr>
      <w:t>, University of Toulouse (</w:t>
    </w:r>
    <w:hyperlink r:id="rId1" w:history="1">
      <w:r w:rsidRPr="00AA6958">
        <w:rPr>
          <w:rStyle w:val="Hyperlink"/>
          <w:rFonts w:ascii="Arial" w:eastAsia="Times New Roman" w:hAnsi="Arial" w:cs="Arial"/>
          <w:color w:val="1155CC"/>
          <w:sz w:val="20"/>
          <w:szCs w:val="20"/>
        </w:rPr>
        <w:t>mary.grellier@lcc-toulouse.fr</w:t>
      </w:r>
    </w:hyperlink>
    <w:r w:rsidRPr="00AA6958">
      <w:rPr>
        <w:rFonts w:ascii="Arial" w:eastAsia="Times New Roman" w:hAnsi="Arial" w:cs="Arial"/>
        <w:color w:val="000000"/>
        <w:sz w:val="20"/>
        <w:szCs w:val="20"/>
      </w:rPr>
      <w:t>), Elizabeth A. Jensen, Aquinas College (</w:t>
    </w:r>
    <w:hyperlink r:id="rId2" w:history="1">
      <w:r w:rsidRPr="00AA6958">
        <w:rPr>
          <w:rStyle w:val="Hyperlink"/>
          <w:rFonts w:ascii="Arial" w:eastAsia="Times New Roman" w:hAnsi="Arial" w:cs="Arial"/>
          <w:color w:val="1155CC"/>
          <w:sz w:val="20"/>
          <w:szCs w:val="20"/>
        </w:rPr>
        <w:t>jenseeli@aquinas.edu</w:t>
      </w:r>
    </w:hyperlink>
    <w:r w:rsidRPr="00AA6958">
      <w:rPr>
        <w:rFonts w:ascii="Arial" w:eastAsia="Times New Roman" w:hAnsi="Arial" w:cs="Arial"/>
        <w:color w:val="000000"/>
        <w:sz w:val="20"/>
        <w:szCs w:val="20"/>
      </w:rPr>
      <w:t>), Richard L. Lord, Grand Valley State University (</w:t>
    </w:r>
    <w:hyperlink r:id="rId3" w:history="1">
      <w:r w:rsidRPr="00AA6958">
        <w:rPr>
          <w:rStyle w:val="Hyperlink"/>
          <w:rFonts w:ascii="Arial" w:eastAsia="Times New Roman" w:hAnsi="Arial" w:cs="Arial"/>
          <w:color w:val="1155CC"/>
          <w:sz w:val="20"/>
          <w:szCs w:val="20"/>
        </w:rPr>
        <w:t>lordri@gvsu.edu</w:t>
      </w:r>
    </w:hyperlink>
    <w:r w:rsidRPr="00AA6958">
      <w:rPr>
        <w:rFonts w:ascii="Arial" w:eastAsia="Times New Roman" w:hAnsi="Arial" w:cs="Arial"/>
        <w:color w:val="000000"/>
        <w:sz w:val="20"/>
        <w:szCs w:val="20"/>
      </w:rPr>
      <w:t>), Kari L. Stone, Benedictine University (</w:t>
    </w:r>
    <w:hyperlink r:id="rId4" w:history="1">
      <w:r w:rsidRPr="00AA6958">
        <w:rPr>
          <w:rStyle w:val="Hyperlink"/>
          <w:rFonts w:ascii="Arial" w:eastAsia="Times New Roman" w:hAnsi="Arial" w:cs="Arial"/>
          <w:color w:val="1155CC"/>
          <w:sz w:val="20"/>
          <w:szCs w:val="20"/>
        </w:rPr>
        <w:t>kstone@ben.edu</w:t>
      </w:r>
    </w:hyperlink>
    <w:r w:rsidRPr="00AA6958">
      <w:rPr>
        <w:rFonts w:ascii="Arial" w:eastAsia="Times New Roman" w:hAnsi="Arial" w:cs="Arial"/>
        <w:color w:val="000000"/>
        <w:sz w:val="20"/>
        <w:szCs w:val="20"/>
      </w:rPr>
      <w:t xml:space="preserve">), Nathaniel K. </w:t>
    </w:r>
    <w:proofErr w:type="spellStart"/>
    <w:r w:rsidRPr="00AA6958">
      <w:rPr>
        <w:rFonts w:ascii="Arial" w:eastAsia="Times New Roman" w:hAnsi="Arial" w:cs="Arial"/>
        <w:color w:val="000000"/>
        <w:sz w:val="20"/>
        <w:szCs w:val="20"/>
      </w:rPr>
      <w:t>Szymczak</w:t>
    </w:r>
    <w:proofErr w:type="spellEnd"/>
    <w:r w:rsidRPr="00AA6958">
      <w:rPr>
        <w:rFonts w:ascii="Arial" w:eastAsia="Times New Roman" w:hAnsi="Arial" w:cs="Arial"/>
        <w:color w:val="000000"/>
        <w:sz w:val="20"/>
        <w:szCs w:val="20"/>
      </w:rPr>
      <w:t>, University of Michigan (</w:t>
    </w:r>
    <w:hyperlink r:id="rId5" w:history="1">
      <w:r w:rsidRPr="00AA6958">
        <w:rPr>
          <w:rStyle w:val="Hyperlink"/>
          <w:rFonts w:ascii="Arial" w:eastAsia="Times New Roman" w:hAnsi="Arial" w:cs="Arial"/>
          <w:color w:val="1155CC"/>
          <w:sz w:val="20"/>
          <w:szCs w:val="20"/>
        </w:rPr>
        <w:t>nszym@umich.edu</w:t>
      </w:r>
    </w:hyperlink>
    <w:r w:rsidRPr="00AA6958">
      <w:rPr>
        <w:rFonts w:ascii="Arial" w:eastAsia="Times New Roman" w:hAnsi="Arial" w:cs="Arial"/>
        <w:color w:val="000000"/>
        <w:sz w:val="20"/>
        <w:szCs w:val="20"/>
      </w:rPr>
      <w:t>), and Santiago Toledo, St. Edward’s University (</w:t>
    </w:r>
    <w:hyperlink r:id="rId6" w:history="1">
      <w:r w:rsidRPr="00AA6958">
        <w:rPr>
          <w:rStyle w:val="Hyperlink"/>
          <w:rFonts w:ascii="Arial" w:eastAsia="Times New Roman" w:hAnsi="Arial" w:cs="Arial"/>
          <w:color w:val="1155CC"/>
          <w:sz w:val="20"/>
          <w:szCs w:val="20"/>
        </w:rPr>
        <w:t>stoledoc@stedwards.edu</w:t>
      </w:r>
    </w:hyperlink>
    <w:r w:rsidRPr="00AA6958">
      <w:rPr>
        <w:rFonts w:ascii="Arial" w:eastAsia="Times New Roman" w:hAnsi="Arial" w:cs="Arial"/>
        <w:color w:val="000000"/>
        <w:sz w:val="20"/>
        <w:szCs w:val="20"/>
      </w:rPr>
      <w:t xml:space="preserve">) and posted on </w:t>
    </w:r>
    <w:proofErr w:type="spellStart"/>
    <w:r w:rsidRPr="00AA6958">
      <w:rPr>
        <w:rFonts w:ascii="Arial" w:eastAsia="Times New Roman" w:hAnsi="Arial" w:cs="Arial"/>
        <w:color w:val="000000"/>
        <w:sz w:val="20"/>
        <w:szCs w:val="20"/>
      </w:rPr>
      <w:t>VIPEr</w:t>
    </w:r>
    <w:proofErr w:type="spellEnd"/>
    <w:r w:rsidRPr="00AA6958">
      <w:rPr>
        <w:rFonts w:ascii="Arial" w:eastAsia="Times New Roman" w:hAnsi="Arial" w:cs="Arial"/>
        <w:color w:val="000000"/>
        <w:sz w:val="20"/>
        <w:szCs w:val="20"/>
      </w:rPr>
      <w:t xml:space="preserve"> (</w:t>
    </w:r>
    <w:hyperlink r:id="rId7" w:history="1">
      <w:r w:rsidRPr="00AA6958">
        <w:rPr>
          <w:rStyle w:val="Hyperlink"/>
          <w:rFonts w:ascii="Arial" w:eastAsia="Times New Roman" w:hAnsi="Arial" w:cs="Arial"/>
          <w:sz w:val="20"/>
          <w:szCs w:val="20"/>
        </w:rPr>
        <w:t>www.ionicviper.org</w:t>
      </w:r>
    </w:hyperlink>
    <w:r w:rsidRPr="00AA6958">
      <w:rPr>
        <w:rFonts w:ascii="Arial" w:eastAsia="Times New Roman" w:hAnsi="Arial" w:cs="Arial"/>
        <w:color w:val="000000"/>
        <w:sz w:val="20"/>
        <w:szCs w:val="20"/>
      </w:rPr>
      <w:t>) on June 30, 2016.  Copyright 2016.  This work is licensed under the Creative Commons Attribution-</w:t>
    </w:r>
    <w:proofErr w:type="spellStart"/>
    <w:r w:rsidRPr="00AA6958">
      <w:rPr>
        <w:rFonts w:ascii="Arial" w:eastAsia="Times New Roman" w:hAnsi="Arial" w:cs="Arial"/>
        <w:color w:val="000000"/>
        <w:sz w:val="20"/>
        <w:szCs w:val="20"/>
      </w:rPr>
      <w:t>NonCommerical</w:t>
    </w:r>
    <w:proofErr w:type="spellEnd"/>
    <w:r w:rsidRPr="00AA6958">
      <w:rPr>
        <w:rFonts w:ascii="Arial" w:eastAsia="Times New Roman" w:hAnsi="Arial" w:cs="Arial"/>
        <w:color w:val="000000"/>
        <w:sz w:val="20"/>
        <w:szCs w:val="20"/>
      </w:rPr>
      <w:t>-</w:t>
    </w:r>
    <w:proofErr w:type="spellStart"/>
    <w:r w:rsidRPr="00AA6958">
      <w:rPr>
        <w:rFonts w:ascii="Arial" w:eastAsia="Times New Roman" w:hAnsi="Arial" w:cs="Arial"/>
        <w:color w:val="000000"/>
        <w:sz w:val="20"/>
        <w:szCs w:val="20"/>
      </w:rPr>
      <w:t>ShareAlike</w:t>
    </w:r>
    <w:proofErr w:type="spellEnd"/>
    <w:r w:rsidRPr="00AA6958">
      <w:rPr>
        <w:rFonts w:ascii="Arial" w:eastAsia="Times New Roman" w:hAnsi="Arial" w:cs="Arial"/>
        <w:color w:val="000000"/>
        <w:sz w:val="20"/>
        <w:szCs w:val="20"/>
      </w:rPr>
      <w:t xml:space="preserve"> 4.0 License. To view a copy of this license visit </w:t>
    </w:r>
    <w:hyperlink r:id="rId8" w:history="1">
      <w:r w:rsidRPr="00AA6958">
        <w:rPr>
          <w:rStyle w:val="Hyperlink"/>
          <w:rFonts w:ascii="Arial" w:eastAsia="Times New Roman" w:hAnsi="Arial" w:cs="Arial"/>
          <w:color w:val="1155CC"/>
          <w:sz w:val="20"/>
          <w:szCs w:val="20"/>
        </w:rPr>
        <w:t>https://creativecommons.org/licenses/by-nc-sa/4.0/</w:t>
      </w:r>
    </w:hyperlink>
    <w:r w:rsidRPr="00AA6958">
      <w:rPr>
        <w:rFonts w:ascii="Arial" w:eastAsia="Times New Roman" w:hAnsi="Arial" w:cs="Arial"/>
        <w:color w:val="000000"/>
        <w:sz w:val="20"/>
        <w:szCs w:val="20"/>
      </w:rPr>
      <w:t>.</w:t>
    </w:r>
  </w:p>
  <w:p w14:paraId="5CD2181D" w14:textId="77777777" w:rsidR="00252975" w:rsidRPr="00AA6958" w:rsidRDefault="00252975" w:rsidP="00AA6958">
    <w:pPr>
      <w:pStyle w:val="Header"/>
      <w:jc w:val="both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E3"/>
    <w:rsid w:val="00027CE5"/>
    <w:rsid w:val="00136ADF"/>
    <w:rsid w:val="001D2233"/>
    <w:rsid w:val="00252975"/>
    <w:rsid w:val="00347395"/>
    <w:rsid w:val="00582BBE"/>
    <w:rsid w:val="005F6CA1"/>
    <w:rsid w:val="006762F5"/>
    <w:rsid w:val="0069142F"/>
    <w:rsid w:val="00892439"/>
    <w:rsid w:val="00A06AE3"/>
    <w:rsid w:val="00A44243"/>
    <w:rsid w:val="00AA6958"/>
    <w:rsid w:val="00AD1E3E"/>
    <w:rsid w:val="00BE587D"/>
    <w:rsid w:val="00C44D4C"/>
    <w:rsid w:val="00CC506C"/>
    <w:rsid w:val="00D22D2F"/>
    <w:rsid w:val="00DF36EF"/>
    <w:rsid w:val="00F97CE3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9EC3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AE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AE3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06AE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6AE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6AE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AE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AE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D1E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69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958"/>
  </w:style>
  <w:style w:type="paragraph" w:styleId="Footer">
    <w:name w:val="footer"/>
    <w:basedOn w:val="Normal"/>
    <w:link w:val="FooterChar"/>
    <w:uiPriority w:val="99"/>
    <w:unhideWhenUsed/>
    <w:rsid w:val="00AA69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958"/>
  </w:style>
  <w:style w:type="character" w:styleId="Hyperlink">
    <w:name w:val="Hyperlink"/>
    <w:basedOn w:val="DefaultParagraphFont"/>
    <w:uiPriority w:val="99"/>
    <w:semiHidden/>
    <w:unhideWhenUsed/>
    <w:rsid w:val="00AA6958"/>
    <w:rPr>
      <w:color w:val="0000FF"/>
      <w:u w:val="single"/>
    </w:rPr>
  </w:style>
  <w:style w:type="table" w:styleId="TableGrid">
    <w:name w:val="Table Grid"/>
    <w:basedOn w:val="TableNormal"/>
    <w:uiPriority w:val="59"/>
    <w:rsid w:val="00F97C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AE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AE3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06AE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6AE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6AE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AE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AE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D1E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69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958"/>
  </w:style>
  <w:style w:type="paragraph" w:styleId="Footer">
    <w:name w:val="footer"/>
    <w:basedOn w:val="Normal"/>
    <w:link w:val="FooterChar"/>
    <w:uiPriority w:val="99"/>
    <w:unhideWhenUsed/>
    <w:rsid w:val="00AA69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958"/>
  </w:style>
  <w:style w:type="character" w:styleId="Hyperlink">
    <w:name w:val="Hyperlink"/>
    <w:basedOn w:val="DefaultParagraphFont"/>
    <w:uiPriority w:val="99"/>
    <w:semiHidden/>
    <w:unhideWhenUsed/>
    <w:rsid w:val="00AA6958"/>
    <w:rPr>
      <w:color w:val="0000FF"/>
      <w:u w:val="single"/>
    </w:rPr>
  </w:style>
  <w:style w:type="table" w:styleId="TableGrid">
    <w:name w:val="Table Grid"/>
    <w:basedOn w:val="TableNormal"/>
    <w:uiPriority w:val="59"/>
    <w:rsid w:val="00F97C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image" Target="media/image2.emf"/><Relationship Id="rId9" Type="http://schemas.openxmlformats.org/officeDocument/2006/relationships/image" Target="media/image3.emf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ordri@gvsu.edu" TargetMode="External"/><Relationship Id="rId4" Type="http://schemas.openxmlformats.org/officeDocument/2006/relationships/hyperlink" Target="mailto:kstone@ben.edu" TargetMode="External"/><Relationship Id="rId5" Type="http://schemas.openxmlformats.org/officeDocument/2006/relationships/hyperlink" Target="mailto:nszym@umich.edu" TargetMode="External"/><Relationship Id="rId6" Type="http://schemas.openxmlformats.org/officeDocument/2006/relationships/hyperlink" Target="mailto:stoledoc@stedwards.edu" TargetMode="External"/><Relationship Id="rId7" Type="http://schemas.openxmlformats.org/officeDocument/2006/relationships/hyperlink" Target="http://www.ionicviper.org" TargetMode="External"/><Relationship Id="rId8" Type="http://schemas.openxmlformats.org/officeDocument/2006/relationships/hyperlink" Target="https://creativecommons.org/licenses/by-nc-sa/4.0/" TargetMode="External"/><Relationship Id="rId1" Type="http://schemas.openxmlformats.org/officeDocument/2006/relationships/hyperlink" Target="mailto:mary.grellier@lcc-toulouse.fr" TargetMode="External"/><Relationship Id="rId2" Type="http://schemas.openxmlformats.org/officeDocument/2006/relationships/hyperlink" Target="mailto:jenseeli@aquina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525</Words>
  <Characters>2998</Characters>
  <Application>Microsoft Macintosh Word</Application>
  <DocSecurity>0</DocSecurity>
  <Lines>24</Lines>
  <Paragraphs>7</Paragraphs>
  <ScaleCrop>false</ScaleCrop>
  <Company>GVSU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Lord</dc:creator>
  <cp:keywords/>
  <dc:description/>
  <cp:lastModifiedBy>Richard Lord</cp:lastModifiedBy>
  <cp:revision>10</cp:revision>
  <dcterms:created xsi:type="dcterms:W3CDTF">2016-06-30T13:33:00Z</dcterms:created>
  <dcterms:modified xsi:type="dcterms:W3CDTF">2016-06-30T16:42:00Z</dcterms:modified>
</cp:coreProperties>
</file>