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Learning Objectives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After completing this course, each student should be 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rationalize the different periodic trends that are observed for the elements in the periodic table (atomic radius, first ionization energy, higher ionization energies)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effective nuclear charge felt by an electron in a molecule/ complex ion using Slater’s Rules,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the presence of a complex cation and/or anion from a structural representation of the compound,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charge on the metal center in a complex ion,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number of d electrons on the metal center,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classify ligands and metal complexes [ML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rtl w:val="0"/>
        </w:rPr>
        <w:t xml:space="preserve">] using the Covalent Bond Classification (CBC) method,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differentiate between different types of ligands that can be bound to metal centers,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assign the coordination number and geometry adopted by a metal center,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convert between the name of a coordination complex and its structure (in both directions),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differentiate between the different types of isomers possible for coordination complexes,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and name the isomer observed in a coordination complex,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basic symmetry operations (reflection and rotation) and determine if the related symmetry elements (mirror plane and proper axis of rotation) are present in a complex,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whether or not a complex is optically active,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relate the symmetry present in a complex to its spectroscopic data.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chelating and macrocyclic ligands,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 the denticity or hapticity of a ligand,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the Lewis acid and the Lewis base in a reaction,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differentiate between coordinate bonds and covalent/ionic bonds,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hybridization of a transition metal center in a complex,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which metal d orbitals should be used to form the hybrid orbitals needed to bond to the attached ligands,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how to determine a d orbital splitting pattern for a metal ion in a ligand field,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draw the correct d orbital splitting pattern for a given ligand field ,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fill in the split d orbitals with the appropriate number of d electrons,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how the position of the ligand in the spectrochemical series, the size of the metal ion, and the charge on the metal ion influences the magnitude of the d orbital splitting (Δ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oct</w:t>
      </w:r>
      <w:r w:rsidDel="00000000" w:rsidR="00000000" w:rsidRPr="00000000">
        <w:rPr>
          <w:rFonts w:ascii="Arial" w:cs="Arial" w:eastAsia="Arial" w:hAnsi="Arial"/>
          <w:rtl w:val="0"/>
        </w:rPr>
        <w:t xml:space="preserve">),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spin state (high spin or low spin) for a metal ion in a given complex,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crystal field stabilization energy (CFSE) for a particular metal ion (including the pairing energy),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the possible electronic transitions in a transition metal using the appropriate Tanabe-Sugano diagram,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correlate the observed transitions in a UV-visible spectrum with electronic transitions from Tanabe-Sugano diagrams,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Δ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a transition metal complex from UV-visible spectroscopic data,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spin-only magnetic moment (μ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rtl w:val="0"/>
        </w:rPr>
        <w:t xml:space="preserve">) for a complex given the number of unpaired electrons, and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number of unpaired electrons in a complex from the calculated μ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eff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μ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rtl w:val="0"/>
        </w:rPr>
        <w:t xml:space="preserve"> values and determine the spin state of the complex from this information.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characteristics of the five main types of reactions observed in coordination compounds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the type of reaction observed in a coordination compounds when provided with a reaction equation,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how oxidative addition and reductive elimination reactions are combinations of two other reaction types,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the reaction types in the steps of a catalytic cycle,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definitions of labile, inert, stable, and unstable as used to describe coordination compounds,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compare and contrast the properties of abile, inert, stable, and unstable coordination complexes,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three mechanistic pathways followed in ligand substitution reactions of octahedral complexes,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compare and contrast the different pathways and recall how to use reaction order and kinetic data to differentiate between the pathways,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and provide evidence why the dissociative mechanism is most commonly observed for octahedral complexes,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linear free energy relationships (such as that in Figure 5.6, pg. 106) to gain information about reaction mechanisms,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ΔCFSE for  dissociative reactions of octahedral complexes (such as those in Table 5.4),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inertness or lability of a complex based upon its ΔCFSE value,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redox reactions,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which coordination complex is being oxidized and which is being reduced,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factors that make an inner sphere electron transfer reaction possible,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mechanism of the redox reaction (inner sphere vs. outer sphere),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structure and composition of the products of inner sphere electron transfer reactions,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 reasons for the observed rates of outer sphere electron transfer reactions based upon their structures.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how the kinetic trans effect influences substitution reactions in square planar complexes;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product of a substitution reaction in square planar complexes using the kinetic trans effect;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factors that influence the stability of coordination complexes,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the chelate and macrocyclic effects;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classify acids and bases as hard or soft based upon HSAB theory (Table 6.1, pg. 131),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differences between hard/soft acids/bases,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relative stability of complexes based upon HSAB theory, 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most stable combinations of acids and bases using HSAB theory and predict what might happen in a reaction,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thermodynamic factors that give rise to the chelate and macrocyclic effects,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observed trends in equilibrium data and stability based upon the chelate and macrocyclic effects,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different roles that metals play in biological systems,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how metal ions bind to proteins and other biological macromolecules,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why certain metal ions bind to biological macromolecules in the manner that they do,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how the coordination environment around a metal ion in a biological setting influences its chemical properties and reactivity,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different types of solid-state structures (including crystalline and framework structures),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identify different lattice types and packing arrangements,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density for a given lattice,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determine the number of nearest neighbors to an ion/atom in a lattice,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why certain types of holes are filled/empty in a lattice using ionic radii,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recall the different methods used to calculate the lattice energy of an ionic solid and when to employ each method,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lattice energy of an ionic solid,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define the behaviors of insulators, conductors, semiconductors, and superconductors,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choose the appropriate band diagram for insulators, conductors, and semiconductors,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the manner in which conductors and semiconductors allow for the movement of electrons, and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how p- and n-type semiconductors are created and how they allow for electrical conduction.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CHM2320 - Inorganic Chemistry</w:t>
      <w:tab/>
      <w:tab/>
      <w:tab/>
      <w:tab/>
      <w:tab/>
      <w:tab/>
      <w:tab/>
      <w:t xml:space="preserve">Fall 2018</w:t>
    </w:r>
  </w:p>
  <w:p w:rsidR="00000000" w:rsidDel="00000000" w:rsidP="00000000" w:rsidRDefault="00000000" w:rsidRPr="00000000" w14:paraId="00000050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Dr. Anthony L. Fernandez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