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i w:val="1"/>
          <w:sz w:val="36"/>
          <w:szCs w:val="36"/>
        </w:rPr>
      </w:pPr>
      <w:r w:rsidDel="00000000" w:rsidR="00000000" w:rsidRPr="00000000">
        <w:rPr>
          <w:b w:val="1"/>
          <w:i w:val="1"/>
          <w:sz w:val="36"/>
          <w:szCs w:val="36"/>
          <w:rtl w:val="0"/>
        </w:rPr>
        <w:t xml:space="preserve">A First Look at Coordination Compounds</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ind w:firstLine="720"/>
        <w:rPr>
          <w:sz w:val="24"/>
          <w:szCs w:val="24"/>
        </w:rPr>
      </w:pPr>
      <w:r w:rsidDel="00000000" w:rsidR="00000000" w:rsidRPr="00000000">
        <w:rPr>
          <w:sz w:val="24"/>
          <w:szCs w:val="24"/>
          <w:rtl w:val="0"/>
        </w:rPr>
        <w:t xml:space="preserve">In this course, we will spend a significant amount of time looking at representations of coordination complexes and the different components of these substances. In this activity, you will look at the crystal structure of a cobalt coordination complex and the information about this structure is provided below. On the linked webpage, you will be able to access the structure and manipulate it so that you can view it from multiple perspectives and determine which is the best (in your opinion) in allowing you to illustrate the important aspects of the structure.</w:t>
      </w:r>
    </w:p>
    <w:p w:rsidR="00000000" w:rsidDel="00000000" w:rsidP="00000000" w:rsidRDefault="00000000" w:rsidRPr="00000000" w14:paraId="00000004">
      <w:pPr>
        <w:spacing w:line="240" w:lineRule="auto"/>
        <w:rPr>
          <w:sz w:val="24"/>
          <w:szCs w:val="24"/>
        </w:rPr>
      </w:pPr>
      <w:r w:rsidDel="00000000" w:rsidR="00000000" w:rsidRPr="00000000">
        <w:rPr>
          <w:rtl w:val="0"/>
        </w:rPr>
      </w:r>
    </w:p>
    <w:tbl>
      <w:tblPr>
        <w:tblStyle w:val="Table1"/>
        <w:tblW w:w="916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6150"/>
        <w:tblGridChange w:id="0">
          <w:tblGrid>
            <w:gridCol w:w="3015"/>
            <w:gridCol w:w="6150"/>
          </w:tblGrid>
        </w:tblGridChange>
      </w:tblGrid>
      <w:tr>
        <w:trPr>
          <w:trHeight w:val="375" w:hRule="atLeast"/>
        </w:trPr>
        <w:tc>
          <w:tcPr>
            <w:tcBorders>
              <w:top w:color="000000" w:space="0" w:sz="6" w:val="single"/>
              <w:left w:color="000000" w:space="0" w:sz="6" w:val="single"/>
              <w:bottom w:color="000000" w:space="0" w:sz="6" w:val="single"/>
              <w:right w:color="000000" w:space="0" w:sz="6" w:val="single"/>
            </w:tcBorders>
            <w:shd w:fill="dcdcdc" w:val="clear"/>
            <w:tcMar>
              <w:top w:w="60.0" w:type="dxa"/>
              <w:left w:w="60.0" w:type="dxa"/>
              <w:bottom w:w="60.0" w:type="dxa"/>
              <w:right w:w="60.0" w:type="dxa"/>
            </w:tcMar>
            <w:vAlign w:val="center"/>
          </w:tcPr>
          <w:p w:rsidR="00000000" w:rsidDel="00000000" w:rsidP="00000000" w:rsidRDefault="00000000" w:rsidRPr="00000000" w14:paraId="00000005">
            <w:pPr>
              <w:spacing w:line="240" w:lineRule="auto"/>
              <w:rPr>
                <w:b w:val="1"/>
                <w:sz w:val="24"/>
                <w:szCs w:val="24"/>
              </w:rPr>
            </w:pPr>
            <w:r w:rsidDel="00000000" w:rsidR="00000000" w:rsidRPr="00000000">
              <w:rPr>
                <w:b w:val="1"/>
                <w:sz w:val="24"/>
                <w:szCs w:val="24"/>
                <w:rtl w:val="0"/>
              </w:rPr>
              <w:t xml:space="preserve">CCDC Database Identifier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CLECOC</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dcdcdc" w:val="clear"/>
            <w:tcMar>
              <w:top w:w="60.0" w:type="dxa"/>
              <w:left w:w="60.0" w:type="dxa"/>
              <w:bottom w:w="60.0" w:type="dxa"/>
              <w:right w:w="60.0" w:type="dxa"/>
            </w:tcMar>
            <w:vAlign w:val="center"/>
          </w:tcPr>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Digital Object Identifier (DOI)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8">
            <w:pPr>
              <w:spacing w:line="240" w:lineRule="auto"/>
              <w:rPr>
                <w:color w:val="1155cc"/>
                <w:sz w:val="24"/>
                <w:szCs w:val="24"/>
                <w:u w:val="single"/>
              </w:rPr>
            </w:pPr>
            <w:hyperlink r:id="rId6">
              <w:r w:rsidDel="00000000" w:rsidR="00000000" w:rsidRPr="00000000">
                <w:rPr>
                  <w:color w:val="1155cc"/>
                  <w:sz w:val="24"/>
                  <w:szCs w:val="24"/>
                  <w:u w:val="single"/>
                  <w:rtl w:val="0"/>
                </w:rPr>
                <w:t xml:space="preserve">https://www.ccdc.cam.ac.uk/structures/Search?Ccdcid=CLECOC&amp;DatabaseToSearch=Published</w:t>
              </w:r>
            </w:hyperlink>
            <w:r w:rsidDel="00000000" w:rsidR="00000000" w:rsidRPr="00000000">
              <w:rPr>
                <w:rtl w:val="0"/>
              </w:rPr>
            </w:r>
          </w:p>
        </w:tc>
      </w:tr>
    </w:tbl>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Note that This structure, and many others, can be accessed from the Cambridge Crystallographic Data Centre’s Access Structures website (</w:t>
      </w:r>
      <w:hyperlink r:id="rId7">
        <w:r w:rsidDel="00000000" w:rsidR="00000000" w:rsidRPr="00000000">
          <w:rPr>
            <w:color w:val="1155cc"/>
            <w:sz w:val="20"/>
            <w:szCs w:val="20"/>
            <w:u w:val="single"/>
            <w:rtl w:val="0"/>
          </w:rPr>
          <w:t xml:space="preserve">https://www.ccdc.cam.ac.uk/structures/</w:t>
        </w:r>
      </w:hyperlink>
      <w:r w:rsidDel="00000000" w:rsidR="00000000" w:rsidRPr="00000000">
        <w:rPr>
          <w:sz w:val="20"/>
          <w:szCs w:val="20"/>
          <w:rtl w:val="0"/>
        </w:rPr>
        <w:t xml:space="preserve">).</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sz w:val="24"/>
          <w:szCs w:val="24"/>
          <w:u w:val="none"/>
        </w:rPr>
      </w:pPr>
      <w:r w:rsidDel="00000000" w:rsidR="00000000" w:rsidRPr="00000000">
        <w:rPr>
          <w:sz w:val="24"/>
          <w:szCs w:val="24"/>
          <w:rtl w:val="0"/>
        </w:rPr>
        <w:t xml:space="preserve">Please paste a screenshot of the structure in the space below.</w:t>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rtl w:val="0"/>
        </w:rPr>
      </w:r>
    </w:p>
    <w:p w:rsidR="00000000" w:rsidDel="00000000" w:rsidP="00000000" w:rsidRDefault="00000000" w:rsidRPr="00000000" w14:paraId="0000000E">
      <w:pPr>
        <w:spacing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sz w:val="24"/>
          <w:szCs w:val="24"/>
          <w:u w:val="none"/>
        </w:rPr>
      </w:pPr>
      <w:r w:rsidDel="00000000" w:rsidR="00000000" w:rsidRPr="00000000">
        <w:rPr>
          <w:sz w:val="24"/>
          <w:szCs w:val="24"/>
          <w:rtl w:val="0"/>
        </w:rPr>
        <w:t xml:space="preserve">Please list 3 things that you notice about the structure.</w:t>
      </w:r>
    </w:p>
    <w:p w:rsidR="00000000" w:rsidDel="00000000" w:rsidP="00000000" w:rsidRDefault="00000000" w:rsidRPr="00000000" w14:paraId="00000010">
      <w:pPr>
        <w:spacing w:line="240" w:lineRule="auto"/>
        <w:rPr>
          <w:b w:val="1"/>
          <w:sz w:val="24"/>
          <w:szCs w:val="24"/>
        </w:rPr>
      </w:pPr>
      <w:r w:rsidDel="00000000" w:rsidR="00000000" w:rsidRPr="00000000">
        <w:rPr>
          <w:rtl w:val="0"/>
        </w:rPr>
      </w:r>
    </w:p>
    <w:p w:rsidR="00000000" w:rsidDel="00000000" w:rsidP="00000000" w:rsidRDefault="00000000" w:rsidRPr="00000000" w14:paraId="00000011">
      <w:pPr>
        <w:spacing w:line="240" w:lineRule="auto"/>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rtl w:val="0"/>
        </w:rPr>
      </w:r>
    </w:p>
    <w:p w:rsidR="00000000" w:rsidDel="00000000" w:rsidP="00000000" w:rsidRDefault="00000000" w:rsidRPr="00000000" w14:paraId="00000013">
      <w:pPr>
        <w:spacing w:line="240" w:lineRule="auto"/>
        <w:rPr>
          <w:b w:val="1"/>
          <w:sz w:val="24"/>
          <w:szCs w:val="24"/>
        </w:rPr>
      </w:pPr>
      <w:r w:rsidDel="00000000" w:rsidR="00000000" w:rsidRPr="00000000">
        <w:rPr>
          <w:rtl w:val="0"/>
        </w:rPr>
      </w:r>
    </w:p>
    <w:p w:rsidR="00000000" w:rsidDel="00000000" w:rsidP="00000000" w:rsidRDefault="00000000" w:rsidRPr="00000000" w14:paraId="00000014">
      <w:pPr>
        <w:spacing w:line="240" w:lineRule="auto"/>
        <w:rPr>
          <w:b w:val="1"/>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rtl w:val="0"/>
        </w:rPr>
      </w:r>
    </w:p>
    <w:p w:rsidR="00000000" w:rsidDel="00000000" w:rsidP="00000000" w:rsidRDefault="00000000" w:rsidRPr="00000000" w14:paraId="00000017">
      <w:pPr>
        <w:spacing w:line="240" w:lineRule="auto"/>
        <w:rPr>
          <w:b w:val="1"/>
          <w:sz w:val="24"/>
          <w:szCs w:val="24"/>
        </w:rPr>
      </w:pPr>
      <w:r w:rsidDel="00000000" w:rsidR="00000000" w:rsidRPr="00000000">
        <w:rPr>
          <w:rtl w:val="0"/>
        </w:rPr>
      </w:r>
    </w:p>
    <w:p w:rsidR="00000000" w:rsidDel="00000000" w:rsidP="00000000" w:rsidRDefault="00000000" w:rsidRPr="00000000" w14:paraId="00000018">
      <w:pPr>
        <w:spacing w:line="240" w:lineRule="auto"/>
        <w:rPr>
          <w:b w:val="1"/>
          <w:sz w:val="24"/>
          <w:szCs w:val="24"/>
        </w:rPr>
      </w:pPr>
      <w:r w:rsidDel="00000000" w:rsidR="00000000" w:rsidRPr="00000000">
        <w:rPr>
          <w:rtl w:val="0"/>
        </w:rPr>
      </w:r>
    </w:p>
    <w:p w:rsidR="00000000" w:rsidDel="00000000" w:rsidP="00000000" w:rsidRDefault="00000000" w:rsidRPr="00000000" w14:paraId="00000019">
      <w:pPr>
        <w:spacing w:line="240" w:lineRule="auto"/>
        <w:rPr>
          <w:b w:val="1"/>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rtl w:val="0"/>
        </w:rPr>
      </w:r>
    </w:p>
    <w:p w:rsidR="00000000" w:rsidDel="00000000" w:rsidP="00000000" w:rsidRDefault="00000000" w:rsidRPr="00000000" w14:paraId="0000001B">
      <w:pPr>
        <w:spacing w:line="240" w:lineRule="auto"/>
        <w:rPr>
          <w:b w:val="1"/>
          <w:sz w:val="24"/>
          <w:szCs w:val="24"/>
        </w:rPr>
      </w:pPr>
      <w:r w:rsidDel="00000000" w:rsidR="00000000" w:rsidRPr="00000000">
        <w:rPr>
          <w:rtl w:val="0"/>
        </w:rPr>
      </w:r>
    </w:p>
    <w:p w:rsidR="00000000" w:rsidDel="00000000" w:rsidP="00000000" w:rsidRDefault="00000000" w:rsidRPr="00000000" w14:paraId="0000001C">
      <w:pPr>
        <w:spacing w:line="240" w:lineRule="auto"/>
        <w:rPr>
          <w:b w:val="1"/>
          <w:sz w:val="24"/>
          <w:szCs w:val="24"/>
        </w:rPr>
      </w:pPr>
      <w:r w:rsidDel="00000000" w:rsidR="00000000" w:rsidRPr="00000000">
        <w:rPr>
          <w:rtl w:val="0"/>
        </w:rPr>
      </w:r>
    </w:p>
    <w:p w:rsidR="00000000" w:rsidDel="00000000" w:rsidP="00000000" w:rsidRDefault="00000000" w:rsidRPr="00000000" w14:paraId="0000001D">
      <w:pPr>
        <w:spacing w:line="240" w:lineRule="auto"/>
        <w:rPr>
          <w:b w:val="1"/>
          <w:sz w:val="24"/>
          <w:szCs w:val="24"/>
        </w:rPr>
      </w:pPr>
      <w:r w:rsidDel="00000000" w:rsidR="00000000" w:rsidRPr="00000000">
        <w:rPr>
          <w:rtl w:val="0"/>
        </w:rPr>
      </w:r>
    </w:p>
    <w:p w:rsidR="00000000" w:rsidDel="00000000" w:rsidP="00000000" w:rsidRDefault="00000000" w:rsidRPr="00000000" w14:paraId="0000001E">
      <w:pPr>
        <w:spacing w:line="240" w:lineRule="auto"/>
        <w:rPr>
          <w:b w:val="1"/>
          <w:sz w:val="24"/>
          <w:szCs w:val="24"/>
        </w:rPr>
      </w:pPr>
      <w:r w:rsidDel="00000000" w:rsidR="00000000" w:rsidRPr="00000000">
        <w:rPr>
          <w:rtl w:val="0"/>
        </w:rPr>
      </w:r>
    </w:p>
    <w:p w:rsidR="00000000" w:rsidDel="00000000" w:rsidP="00000000" w:rsidRDefault="00000000" w:rsidRPr="00000000" w14:paraId="0000001F">
      <w:pPr>
        <w:spacing w:line="240" w:lineRule="auto"/>
        <w:rPr>
          <w:b w:val="1"/>
          <w:sz w:val="24"/>
          <w:szCs w:val="24"/>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sz w:val="24"/>
          <w:szCs w:val="24"/>
          <w:u w:val="none"/>
        </w:rPr>
      </w:pPr>
      <w:r w:rsidDel="00000000" w:rsidR="00000000" w:rsidRPr="00000000">
        <w:rPr>
          <w:sz w:val="24"/>
          <w:szCs w:val="24"/>
          <w:rtl w:val="0"/>
        </w:rPr>
        <w:t xml:space="preserve">Please list 2 or 3 questions about the structure that you would like to have answered.</w:t>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rPr>
        <w:sz w:val="20"/>
        <w:szCs w:val="20"/>
      </w:rPr>
    </w:pPr>
    <w:r w:rsidDel="00000000" w:rsidR="00000000" w:rsidRPr="00000000">
      <w:rPr>
        <w:color w:val="3b3b3b"/>
        <w:sz w:val="20"/>
        <w:szCs w:val="20"/>
        <w:highlight w:val="white"/>
        <w:rtl w:val="0"/>
      </w:rPr>
      <w:t xml:space="preserve">Created by Anthony L. Fernandez, Merrimack College, fernandeza@merrimack.edu and posted on VIPEr </w:t>
    </w:r>
    <w:hyperlink r:id="rId1">
      <w:r w:rsidDel="00000000" w:rsidR="00000000" w:rsidRPr="00000000">
        <w:rPr>
          <w:color w:val="217e2c"/>
          <w:sz w:val="20"/>
          <w:szCs w:val="20"/>
          <w:highlight w:val="white"/>
          <w:rtl w:val="0"/>
        </w:rPr>
        <w:t xml:space="preserve">(www.ionicviper.org)</w:t>
      </w:r>
    </w:hyperlink>
    <w:r w:rsidDel="00000000" w:rsidR="00000000" w:rsidRPr="00000000">
      <w:rPr>
        <w:color w:val="3b3b3b"/>
        <w:sz w:val="20"/>
        <w:szCs w:val="20"/>
        <w:highlight w:val="white"/>
        <w:rtl w:val="0"/>
      </w:rPr>
      <w:t xml:space="preserve"> on September 6, 2020. Copyright Anthony L. Fernandez, 2020. This work is licensed under the Creative Commons Attribution-NonCommercial-ShareAlike (CC BY-NC-SA) License. To view a copy of this license visit </w:t>
    </w:r>
    <w:hyperlink r:id="rId2">
      <w:r w:rsidDel="00000000" w:rsidR="00000000" w:rsidRPr="00000000">
        <w:rPr>
          <w:color w:val="1155cc"/>
          <w:sz w:val="20"/>
          <w:szCs w:val="20"/>
          <w:highlight w:val="white"/>
          <w:u w:val="single"/>
          <w:rtl w:val="0"/>
        </w:rPr>
        <w:t xml:space="preserve">http://creativecommons.org/licenses/</w:t>
      </w:r>
    </w:hyperlink>
    <w:r w:rsidDel="00000000" w:rsidR="00000000" w:rsidRPr="00000000">
      <w:rPr>
        <w:sz w:val="20"/>
        <w:szCs w:val="20"/>
        <w:rtl w:val="0"/>
      </w:rPr>
      <w:t xml:space="preserve">.</w:t>
    </w:r>
  </w:p>
  <w:p w:rsidR="00000000" w:rsidDel="00000000" w:rsidP="00000000" w:rsidRDefault="00000000" w:rsidRPr="00000000" w14:paraId="00000025">
    <w:pPr>
      <w:spacing w:line="240"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cdc.cam.ac.uk/structures/Search?Ccdcid=CLECOC&amp;DatabaseToSearch=Published" TargetMode="External"/><Relationship Id="rId7" Type="http://schemas.openxmlformats.org/officeDocument/2006/relationships/hyperlink" Target="https://www.ccdc.cam.ac.uk/structur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