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C9C0B" w14:textId="77777777" w:rsidR="0005178C" w:rsidRDefault="009F6833">
      <w:pPr>
        <w:pBdr>
          <w:top w:val="nil"/>
          <w:left w:val="nil"/>
          <w:bottom w:val="nil"/>
          <w:right w:val="nil"/>
          <w:between w:val="nil"/>
        </w:pBdr>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Drawing Chemical Structures with </w:t>
      </w:r>
      <w:proofErr w:type="spellStart"/>
      <w:r>
        <w:rPr>
          <w:rFonts w:ascii="Trebuchet MS" w:eastAsia="Trebuchet MS" w:hAnsi="Trebuchet MS" w:cs="Trebuchet MS"/>
          <w:b/>
          <w:sz w:val="32"/>
          <w:szCs w:val="32"/>
        </w:rPr>
        <w:t>MarvinSketch</w:t>
      </w:r>
      <w:proofErr w:type="spellEnd"/>
    </w:p>
    <w:p w14:paraId="643B36D9" w14:textId="77777777" w:rsidR="0005178C" w:rsidRDefault="0005178C">
      <w:pPr>
        <w:pBdr>
          <w:top w:val="nil"/>
          <w:left w:val="nil"/>
          <w:bottom w:val="nil"/>
          <w:right w:val="nil"/>
          <w:between w:val="nil"/>
        </w:pBdr>
        <w:jc w:val="center"/>
        <w:rPr>
          <w:rFonts w:ascii="Trebuchet MS" w:eastAsia="Trebuchet MS" w:hAnsi="Trebuchet MS" w:cs="Trebuchet MS"/>
          <w:b/>
          <w:sz w:val="32"/>
          <w:szCs w:val="32"/>
        </w:rPr>
      </w:pPr>
    </w:p>
    <w:p w14:paraId="4EB40F67" w14:textId="77777777" w:rsidR="0005178C" w:rsidRDefault="009F6833">
      <w:pPr>
        <w:pBdr>
          <w:top w:val="nil"/>
          <w:left w:val="nil"/>
          <w:bottom w:val="nil"/>
          <w:right w:val="nil"/>
          <w:between w:val="nil"/>
        </w:pBdr>
        <w:rPr>
          <w:rFonts w:ascii="Trebuchet MS" w:eastAsia="Trebuchet MS" w:hAnsi="Trebuchet MS" w:cs="Trebuchet MS"/>
        </w:rPr>
      </w:pPr>
      <w:proofErr w:type="spellStart"/>
      <w:r>
        <w:rPr>
          <w:rFonts w:ascii="Trebuchet MS" w:eastAsia="Trebuchet MS" w:hAnsi="Trebuchet MS" w:cs="Trebuchet MS"/>
        </w:rPr>
        <w:t>ChemAxon</w:t>
      </w:r>
      <w:proofErr w:type="spellEnd"/>
      <w:r>
        <w:rPr>
          <w:rFonts w:ascii="Trebuchet MS" w:eastAsia="Trebuchet MS" w:hAnsi="Trebuchet MS" w:cs="Trebuchet MS"/>
        </w:rPr>
        <w:t xml:space="preserve"> is a company that provides software and other applications for </w:t>
      </w:r>
      <w:proofErr w:type="spellStart"/>
      <w:r>
        <w:rPr>
          <w:rFonts w:ascii="Trebuchet MS" w:eastAsia="Trebuchet MS" w:hAnsi="Trebuchet MS" w:cs="Trebuchet MS"/>
        </w:rPr>
        <w:t>chemoinformatics</w:t>
      </w:r>
      <w:proofErr w:type="spellEnd"/>
      <w:r>
        <w:rPr>
          <w:rFonts w:ascii="Trebuchet MS" w:eastAsia="Trebuchet MS" w:hAnsi="Trebuchet MS" w:cs="Trebuchet MS"/>
        </w:rPr>
        <w:t xml:space="preserve"> and they offer their powerful Marvin Suite of software tools to academic users for free. Marvin allows users to draw structures and compute a number of chemically important properties (e.g. elemental analysis, </w:t>
      </w:r>
      <w:proofErr w:type="spellStart"/>
      <w:r>
        <w:rPr>
          <w:rFonts w:ascii="Trebuchet MS" w:eastAsia="Trebuchet MS" w:hAnsi="Trebuchet MS" w:cs="Trebuchet MS"/>
        </w:rPr>
        <w:t>p</w:t>
      </w:r>
      <w:r>
        <w:rPr>
          <w:rFonts w:ascii="Trebuchet MS" w:eastAsia="Trebuchet MS" w:hAnsi="Trebuchet MS" w:cs="Trebuchet MS"/>
          <w:i/>
        </w:rPr>
        <w:t>K</w:t>
      </w:r>
      <w:r>
        <w:rPr>
          <w:rFonts w:ascii="Trebuchet MS" w:eastAsia="Trebuchet MS" w:hAnsi="Trebuchet MS" w:cs="Trebuchet MS"/>
          <w:vertAlign w:val="subscript"/>
        </w:rPr>
        <w:t>a</w:t>
      </w:r>
      <w:proofErr w:type="spellEnd"/>
      <w:r>
        <w:rPr>
          <w:rFonts w:ascii="Trebuchet MS" w:eastAsia="Trebuchet MS" w:hAnsi="Trebuchet MS" w:cs="Trebuchet MS"/>
        </w:rPr>
        <w:t xml:space="preserve">, charge, </w:t>
      </w:r>
      <w:r>
        <w:rPr>
          <w:rFonts w:ascii="Trebuchet MS" w:eastAsia="Trebuchet MS" w:hAnsi="Trebuchet MS" w:cs="Trebuchet MS"/>
          <w:vertAlign w:val="superscript"/>
        </w:rPr>
        <w:t>1</w:t>
      </w:r>
      <w:r>
        <w:rPr>
          <w:rFonts w:ascii="Trebuchet MS" w:eastAsia="Trebuchet MS" w:hAnsi="Trebuchet MS" w:cs="Trebuchet MS"/>
        </w:rPr>
        <w:t xml:space="preserve">H and </w:t>
      </w:r>
      <w:r>
        <w:rPr>
          <w:rFonts w:ascii="Trebuchet MS" w:eastAsia="Trebuchet MS" w:hAnsi="Trebuchet MS" w:cs="Trebuchet MS"/>
          <w:vertAlign w:val="superscript"/>
        </w:rPr>
        <w:t>13</w:t>
      </w:r>
      <w:r>
        <w:rPr>
          <w:rFonts w:ascii="Trebuchet MS" w:eastAsia="Trebuchet MS" w:hAnsi="Trebuchet MS" w:cs="Trebuchet MS"/>
        </w:rPr>
        <w:t>C NMR spectra, and protonation location) about compounds entered into the program.</w:t>
      </w:r>
    </w:p>
    <w:p w14:paraId="6CBFC3D3" w14:textId="77777777" w:rsidR="0005178C" w:rsidRDefault="0005178C">
      <w:pPr>
        <w:pBdr>
          <w:top w:val="nil"/>
          <w:left w:val="nil"/>
          <w:bottom w:val="nil"/>
          <w:right w:val="nil"/>
          <w:between w:val="nil"/>
        </w:pBdr>
        <w:rPr>
          <w:rFonts w:ascii="Trebuchet MS" w:eastAsia="Trebuchet MS" w:hAnsi="Trebuchet MS" w:cs="Trebuchet MS"/>
        </w:rPr>
      </w:pPr>
    </w:p>
    <w:p w14:paraId="13C85497" w14:textId="77777777" w:rsidR="0005178C" w:rsidRDefault="009F6833">
      <w:pPr>
        <w:pBdr>
          <w:top w:val="nil"/>
          <w:left w:val="nil"/>
          <w:bottom w:val="nil"/>
          <w:right w:val="nil"/>
          <w:between w:val="nil"/>
        </w:pBdr>
        <w:rPr>
          <w:rFonts w:ascii="Trebuchet MS" w:eastAsia="Trebuchet MS" w:hAnsi="Trebuchet MS" w:cs="Trebuchet MS"/>
          <w:color w:val="000000"/>
        </w:rPr>
      </w:pPr>
      <w:r>
        <w:rPr>
          <w:rFonts w:ascii="Trebuchet MS" w:eastAsia="Trebuchet MS" w:hAnsi="Trebuchet MS" w:cs="Trebuchet MS"/>
          <w:color w:val="000000"/>
        </w:rPr>
        <w:t xml:space="preserve">First, the program must be obtained from </w:t>
      </w:r>
      <w:proofErr w:type="spellStart"/>
      <w:r>
        <w:rPr>
          <w:rFonts w:ascii="Trebuchet MS" w:eastAsia="Trebuchet MS" w:hAnsi="Trebuchet MS" w:cs="Trebuchet MS"/>
        </w:rPr>
        <w:t>ChemAxon</w:t>
      </w:r>
      <w:proofErr w:type="spellEnd"/>
      <w:r>
        <w:rPr>
          <w:rFonts w:ascii="Trebuchet MS" w:eastAsia="Trebuchet MS" w:hAnsi="Trebuchet MS" w:cs="Trebuchet MS"/>
          <w:color w:val="000000"/>
        </w:rPr>
        <w:t xml:space="preserve"> using the provided link </w:t>
      </w:r>
      <w:r>
        <w:rPr>
          <w:rFonts w:ascii="Trebuchet MS" w:eastAsia="Trebuchet MS" w:hAnsi="Trebuchet MS" w:cs="Trebuchet MS"/>
        </w:rPr>
        <w:t>(</w:t>
      </w:r>
      <w:hyperlink r:id="rId8">
        <w:r>
          <w:rPr>
            <w:rFonts w:ascii="Trebuchet MS" w:eastAsia="Trebuchet MS" w:hAnsi="Trebuchet MS" w:cs="Trebuchet MS"/>
            <w:color w:val="1155CC"/>
            <w:u w:val="single"/>
          </w:rPr>
          <w:t>https://chemaxon.com/products/marvin</w:t>
        </w:r>
      </w:hyperlink>
      <w:r>
        <w:rPr>
          <w:rFonts w:ascii="Trebuchet MS" w:eastAsia="Trebuchet MS" w:hAnsi="Trebuchet MS" w:cs="Trebuchet MS"/>
        </w:rPr>
        <w:t xml:space="preserve">). </w:t>
      </w:r>
      <w:r>
        <w:rPr>
          <w:rFonts w:ascii="Trebuchet MS" w:eastAsia="Trebuchet MS" w:hAnsi="Trebuchet MS" w:cs="Trebuchet MS"/>
          <w:color w:val="000000"/>
        </w:rPr>
        <w:t>This program is freely available, after creating a</w:t>
      </w:r>
      <w:r>
        <w:rPr>
          <w:rFonts w:ascii="Trebuchet MS" w:eastAsia="Trebuchet MS" w:hAnsi="Trebuchet MS" w:cs="Trebuchet MS"/>
        </w:rPr>
        <w:t>n</w:t>
      </w:r>
      <w:r>
        <w:rPr>
          <w:rFonts w:ascii="Trebuchet MS" w:eastAsia="Trebuchet MS" w:hAnsi="Trebuchet MS" w:cs="Trebuchet MS"/>
          <w:color w:val="000000"/>
        </w:rPr>
        <w:t xml:space="preserve"> ac</w:t>
      </w:r>
      <w:r>
        <w:rPr>
          <w:rFonts w:ascii="Trebuchet MS" w:eastAsia="Trebuchet MS" w:hAnsi="Trebuchet MS" w:cs="Trebuchet MS"/>
        </w:rPr>
        <w:t>count,</w:t>
      </w:r>
      <w:r>
        <w:rPr>
          <w:rFonts w:ascii="Trebuchet MS" w:eastAsia="Trebuchet MS" w:hAnsi="Trebuchet MS" w:cs="Trebuchet MS"/>
          <w:color w:val="000000"/>
        </w:rPr>
        <w:t xml:space="preserve"> and there are versions for Mac</w:t>
      </w:r>
      <w:r>
        <w:rPr>
          <w:rFonts w:ascii="Trebuchet MS" w:eastAsia="Trebuchet MS" w:hAnsi="Trebuchet MS" w:cs="Trebuchet MS"/>
        </w:rPr>
        <w:t xml:space="preserve">, </w:t>
      </w:r>
      <w:r>
        <w:rPr>
          <w:rFonts w:ascii="Trebuchet MS" w:eastAsia="Trebuchet MS" w:hAnsi="Trebuchet MS" w:cs="Trebuchet MS"/>
          <w:color w:val="000000"/>
        </w:rPr>
        <w:t>Windows (32- and 64-bit), and Linux</w:t>
      </w:r>
      <w:r>
        <w:rPr>
          <w:rFonts w:ascii="Trebuchet MS" w:eastAsia="Trebuchet MS" w:hAnsi="Trebuchet MS" w:cs="Trebuchet MS"/>
        </w:rPr>
        <w:t xml:space="preserve"> </w:t>
      </w:r>
      <w:r>
        <w:rPr>
          <w:rFonts w:ascii="Trebuchet MS" w:eastAsia="Trebuchet MS" w:hAnsi="Trebuchet MS" w:cs="Trebuchet MS"/>
          <w:color w:val="000000"/>
        </w:rPr>
        <w:t>operating systems.</w:t>
      </w:r>
    </w:p>
    <w:p w14:paraId="0761DDBB" w14:textId="77777777" w:rsidR="0005178C" w:rsidRDefault="0005178C">
      <w:pPr>
        <w:pBdr>
          <w:top w:val="nil"/>
          <w:left w:val="nil"/>
          <w:bottom w:val="nil"/>
          <w:right w:val="nil"/>
          <w:between w:val="nil"/>
        </w:pBdr>
        <w:rPr>
          <w:rFonts w:ascii="Trebuchet MS" w:eastAsia="Trebuchet MS" w:hAnsi="Trebuchet MS" w:cs="Trebuchet MS"/>
          <w:color w:val="000000"/>
        </w:rPr>
      </w:pPr>
    </w:p>
    <w:p w14:paraId="5083FD3D" w14:textId="66D5DE4A" w:rsidR="0005178C" w:rsidRDefault="00B94F09">
      <w:pPr>
        <w:pBdr>
          <w:top w:val="nil"/>
          <w:left w:val="nil"/>
          <w:bottom w:val="nil"/>
          <w:right w:val="nil"/>
          <w:between w:val="nil"/>
        </w:pBdr>
        <w:rPr>
          <w:rFonts w:ascii="Trebuchet MS" w:eastAsia="Trebuchet MS" w:hAnsi="Trebuchet MS" w:cs="Trebuchet MS"/>
        </w:rPr>
      </w:pPr>
      <w:r>
        <w:rPr>
          <w:noProof/>
        </w:rPr>
        <w:drawing>
          <wp:anchor distT="114300" distB="114300" distL="114300" distR="114300" simplePos="0" relativeHeight="251658240" behindDoc="0" locked="0" layoutInCell="1" hidden="0" allowOverlap="1" wp14:anchorId="27DF8D62" wp14:editId="09DAD902">
            <wp:simplePos x="0" y="0"/>
            <wp:positionH relativeFrom="column">
              <wp:posOffset>3514725</wp:posOffset>
            </wp:positionH>
            <wp:positionV relativeFrom="paragraph">
              <wp:posOffset>104775</wp:posOffset>
            </wp:positionV>
            <wp:extent cx="2490788" cy="1018621"/>
            <wp:effectExtent l="0" t="0" r="0" b="0"/>
            <wp:wrapSquare wrapText="bothSides" distT="114300" distB="114300" distL="114300" distR="114300"/>
            <wp:docPr id="6" name="image7.png" descr="MarvinExercise_01.png"/>
            <wp:cNvGraphicFramePr/>
            <a:graphic xmlns:a="http://schemas.openxmlformats.org/drawingml/2006/main">
              <a:graphicData uri="http://schemas.openxmlformats.org/drawingml/2006/picture">
                <pic:pic xmlns:pic="http://schemas.openxmlformats.org/drawingml/2006/picture">
                  <pic:nvPicPr>
                    <pic:cNvPr id="0" name="image7.png" descr="MarvinExercise_01.png"/>
                    <pic:cNvPicPr preferRelativeResize="0"/>
                  </pic:nvPicPr>
                  <pic:blipFill>
                    <a:blip r:embed="rId9"/>
                    <a:srcRect/>
                    <a:stretch>
                      <a:fillRect/>
                    </a:stretch>
                  </pic:blipFill>
                  <pic:spPr>
                    <a:xfrm>
                      <a:off x="0" y="0"/>
                      <a:ext cx="2490788" cy="1018621"/>
                    </a:xfrm>
                    <a:prstGeom prst="rect">
                      <a:avLst/>
                    </a:prstGeom>
                    <a:ln/>
                  </pic:spPr>
                </pic:pic>
              </a:graphicData>
            </a:graphic>
          </wp:anchor>
        </w:drawing>
      </w:r>
      <w:r w:rsidR="009F6833">
        <w:rPr>
          <w:rFonts w:ascii="Trebuchet MS" w:eastAsia="Trebuchet MS" w:hAnsi="Trebuchet MS" w:cs="Trebuchet MS"/>
        </w:rPr>
        <w:t xml:space="preserve">To access all of the features of the software, the license file must be installed. (The license file can be found in the Google Classroom site for this course. </w:t>
      </w:r>
      <w:r w:rsidR="009F6833">
        <w:rPr>
          <w:rFonts w:ascii="Trebuchet MS" w:eastAsia="Trebuchet MS" w:hAnsi="Trebuchet MS" w:cs="Trebuchet MS"/>
          <w:color w:val="000000"/>
        </w:rPr>
        <w:t xml:space="preserve">Once the program </w:t>
      </w:r>
      <w:r w:rsidR="009F6833">
        <w:rPr>
          <w:rFonts w:ascii="Trebuchet MS" w:eastAsia="Trebuchet MS" w:hAnsi="Trebuchet MS" w:cs="Trebuchet MS"/>
        </w:rPr>
        <w:t>ha</w:t>
      </w:r>
      <w:r w:rsidR="009F6833">
        <w:rPr>
          <w:rFonts w:ascii="Trebuchet MS" w:eastAsia="Trebuchet MS" w:hAnsi="Trebuchet MS" w:cs="Trebuchet MS"/>
          <w:color w:val="000000"/>
        </w:rPr>
        <w:t>s been installed and you h</w:t>
      </w:r>
      <w:r w:rsidR="009F6833">
        <w:rPr>
          <w:rFonts w:ascii="Trebuchet MS" w:eastAsia="Trebuchet MS" w:hAnsi="Trebuchet MS" w:cs="Trebuchet MS"/>
        </w:rPr>
        <w:t xml:space="preserve">ave </w:t>
      </w:r>
      <w:r w:rsidR="009F6833">
        <w:rPr>
          <w:rFonts w:ascii="Trebuchet MS" w:eastAsia="Trebuchet MS" w:hAnsi="Trebuchet MS" w:cs="Trebuchet MS"/>
          <w:color w:val="000000"/>
        </w:rPr>
        <w:t xml:space="preserve">opened the </w:t>
      </w:r>
      <w:proofErr w:type="spellStart"/>
      <w:r w:rsidR="009F6833">
        <w:rPr>
          <w:rFonts w:ascii="Trebuchet MS" w:eastAsia="Trebuchet MS" w:hAnsi="Trebuchet MS" w:cs="Trebuchet MS"/>
          <w:color w:val="000000"/>
        </w:rPr>
        <w:t>MarvinSketch</w:t>
      </w:r>
      <w:proofErr w:type="spellEnd"/>
      <w:r w:rsidR="009F6833">
        <w:rPr>
          <w:rFonts w:ascii="Trebuchet MS" w:eastAsia="Trebuchet MS" w:hAnsi="Trebuchet MS" w:cs="Trebuchet MS"/>
          <w:color w:val="000000"/>
        </w:rPr>
        <w:t xml:space="preserve"> program, you can install the license by choosing </w:t>
      </w:r>
      <w:r w:rsidR="009F6833">
        <w:rPr>
          <w:rFonts w:ascii="Trebuchet MS" w:eastAsia="Trebuchet MS" w:hAnsi="Trebuchet MS" w:cs="Trebuchet MS"/>
          <w:i/>
          <w:color w:val="000000"/>
        </w:rPr>
        <w:t>Help &gt; Licenses</w:t>
      </w:r>
      <w:r w:rsidR="009F6833">
        <w:rPr>
          <w:rFonts w:ascii="Trebuchet MS" w:eastAsia="Trebuchet MS" w:hAnsi="Trebuchet MS" w:cs="Trebuchet MS"/>
          <w:i/>
        </w:rPr>
        <w:t>…</w:t>
      </w:r>
      <w:r w:rsidR="009F6833">
        <w:rPr>
          <w:rFonts w:ascii="Trebuchet MS" w:eastAsia="Trebuchet MS" w:hAnsi="Trebuchet MS" w:cs="Trebuchet MS"/>
        </w:rPr>
        <w:t xml:space="preserve"> which will open the License Manager window.</w:t>
      </w:r>
    </w:p>
    <w:p w14:paraId="7296F0BD" w14:textId="77777777" w:rsidR="0005178C" w:rsidRDefault="0005178C">
      <w:pPr>
        <w:pBdr>
          <w:top w:val="nil"/>
          <w:left w:val="nil"/>
          <w:bottom w:val="nil"/>
          <w:right w:val="nil"/>
          <w:between w:val="nil"/>
        </w:pBdr>
        <w:rPr>
          <w:rFonts w:ascii="Trebuchet MS" w:eastAsia="Trebuchet MS" w:hAnsi="Trebuchet MS" w:cs="Trebuchet MS"/>
        </w:rPr>
      </w:pPr>
    </w:p>
    <w:p w14:paraId="239E6BDD" w14:textId="77777777" w:rsidR="0005178C" w:rsidRDefault="009F6833">
      <w:pPr>
        <w:pBdr>
          <w:top w:val="nil"/>
          <w:left w:val="nil"/>
          <w:bottom w:val="nil"/>
          <w:right w:val="nil"/>
          <w:between w:val="nil"/>
        </w:pBdr>
        <w:jc w:val="center"/>
        <w:rPr>
          <w:rFonts w:ascii="Trebuchet MS" w:eastAsia="Trebuchet MS" w:hAnsi="Trebuchet MS" w:cs="Trebuchet MS"/>
          <w:color w:val="000000"/>
        </w:rPr>
      </w:pPr>
      <w:r>
        <w:rPr>
          <w:rFonts w:ascii="Trebuchet MS" w:eastAsia="Trebuchet MS" w:hAnsi="Trebuchet MS" w:cs="Trebuchet MS"/>
          <w:noProof/>
        </w:rPr>
        <w:drawing>
          <wp:inline distT="114300" distB="114300" distL="114300" distR="114300" wp14:anchorId="1697A049" wp14:editId="51ECDB4C">
            <wp:extent cx="4186238" cy="3166513"/>
            <wp:effectExtent l="0" t="0" r="0" b="0"/>
            <wp:docPr id="13" name="image10.png" descr="MarvinExercise_02.png"/>
            <wp:cNvGraphicFramePr/>
            <a:graphic xmlns:a="http://schemas.openxmlformats.org/drawingml/2006/main">
              <a:graphicData uri="http://schemas.openxmlformats.org/drawingml/2006/picture">
                <pic:pic xmlns:pic="http://schemas.openxmlformats.org/drawingml/2006/picture">
                  <pic:nvPicPr>
                    <pic:cNvPr id="0" name="image10.png" descr="MarvinExercise_02.png"/>
                    <pic:cNvPicPr preferRelativeResize="0"/>
                  </pic:nvPicPr>
                  <pic:blipFill>
                    <a:blip r:embed="rId10"/>
                    <a:srcRect/>
                    <a:stretch>
                      <a:fillRect/>
                    </a:stretch>
                  </pic:blipFill>
                  <pic:spPr>
                    <a:xfrm>
                      <a:off x="0" y="0"/>
                      <a:ext cx="4186238" cy="3166513"/>
                    </a:xfrm>
                    <a:prstGeom prst="rect">
                      <a:avLst/>
                    </a:prstGeom>
                    <a:ln/>
                  </pic:spPr>
                </pic:pic>
              </a:graphicData>
            </a:graphic>
          </wp:inline>
        </w:drawing>
      </w:r>
    </w:p>
    <w:p w14:paraId="0F9CB1AA" w14:textId="77777777" w:rsidR="0005178C" w:rsidRDefault="009F6833">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rPr>
        <w:t xml:space="preserve">To install the license, choose the </w:t>
      </w:r>
      <w:r>
        <w:rPr>
          <w:rFonts w:ascii="Trebuchet MS" w:eastAsia="Trebuchet MS" w:hAnsi="Trebuchet MS" w:cs="Trebuchet MS"/>
          <w:b/>
        </w:rPr>
        <w:t>Browse</w:t>
      </w:r>
      <w:r>
        <w:rPr>
          <w:rFonts w:ascii="Trebuchet MS" w:eastAsia="Trebuchet MS" w:hAnsi="Trebuchet MS" w:cs="Trebuchet MS"/>
        </w:rPr>
        <w:t xml:space="preserve"> button and navigate to where you have the license file saved. Choose the appropriate file and click the blue </w:t>
      </w:r>
      <w:r>
        <w:rPr>
          <w:rFonts w:ascii="Trebuchet MS" w:eastAsia="Trebuchet MS" w:hAnsi="Trebuchet MS" w:cs="Trebuchet MS"/>
          <w:b/>
        </w:rPr>
        <w:t>Open</w:t>
      </w:r>
      <w:r>
        <w:rPr>
          <w:rFonts w:ascii="Trebuchet MS" w:eastAsia="Trebuchet MS" w:hAnsi="Trebuchet MS" w:cs="Trebuchet MS"/>
        </w:rPr>
        <w:t xml:space="preserve"> button. The path to the location of the license file will appear in the previously blank text box.</w:t>
      </w:r>
    </w:p>
    <w:p w14:paraId="095878F7" w14:textId="77777777" w:rsidR="0005178C" w:rsidRDefault="009F6833">
      <w:pPr>
        <w:pBdr>
          <w:top w:val="nil"/>
          <w:left w:val="nil"/>
          <w:bottom w:val="nil"/>
          <w:right w:val="nil"/>
          <w:between w:val="nil"/>
        </w:pBdr>
        <w:jc w:val="center"/>
        <w:rPr>
          <w:rFonts w:ascii="Trebuchet MS" w:eastAsia="Trebuchet MS" w:hAnsi="Trebuchet MS" w:cs="Trebuchet MS"/>
        </w:rPr>
      </w:pPr>
      <w:r>
        <w:rPr>
          <w:rFonts w:ascii="Trebuchet MS" w:eastAsia="Trebuchet MS" w:hAnsi="Trebuchet MS" w:cs="Trebuchet MS"/>
          <w:noProof/>
        </w:rPr>
        <w:lastRenderedPageBreak/>
        <w:drawing>
          <wp:inline distT="114300" distB="114300" distL="114300" distR="114300" wp14:anchorId="06A5D718" wp14:editId="23395716">
            <wp:extent cx="4033838" cy="3051236"/>
            <wp:effectExtent l="0" t="0" r="0" b="0"/>
            <wp:docPr id="14" name="image15.png" descr="MarvinExercise_04.png"/>
            <wp:cNvGraphicFramePr/>
            <a:graphic xmlns:a="http://schemas.openxmlformats.org/drawingml/2006/main">
              <a:graphicData uri="http://schemas.openxmlformats.org/drawingml/2006/picture">
                <pic:pic xmlns:pic="http://schemas.openxmlformats.org/drawingml/2006/picture">
                  <pic:nvPicPr>
                    <pic:cNvPr id="0" name="image15.png" descr="MarvinExercise_04.png"/>
                    <pic:cNvPicPr preferRelativeResize="0"/>
                  </pic:nvPicPr>
                  <pic:blipFill>
                    <a:blip r:embed="rId11"/>
                    <a:srcRect/>
                    <a:stretch>
                      <a:fillRect/>
                    </a:stretch>
                  </pic:blipFill>
                  <pic:spPr>
                    <a:xfrm>
                      <a:off x="0" y="0"/>
                      <a:ext cx="4033838" cy="3051236"/>
                    </a:xfrm>
                    <a:prstGeom prst="rect">
                      <a:avLst/>
                    </a:prstGeom>
                    <a:ln/>
                  </pic:spPr>
                </pic:pic>
              </a:graphicData>
            </a:graphic>
          </wp:inline>
        </w:drawing>
      </w:r>
    </w:p>
    <w:p w14:paraId="222543AB" w14:textId="77777777" w:rsidR="0005178C" w:rsidRDefault="009F6833">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rPr>
        <w:t xml:space="preserve">You can see that the status of the software is “To be installed” and this will change to “Valid” after you click on the </w:t>
      </w:r>
      <w:r>
        <w:rPr>
          <w:rFonts w:ascii="Trebuchet MS" w:eastAsia="Trebuchet MS" w:hAnsi="Trebuchet MS" w:cs="Trebuchet MS"/>
          <w:b/>
        </w:rPr>
        <w:t>Install</w:t>
      </w:r>
      <w:r>
        <w:rPr>
          <w:rFonts w:ascii="Trebuchet MS" w:eastAsia="Trebuchet MS" w:hAnsi="Trebuchet MS" w:cs="Trebuchet MS"/>
        </w:rPr>
        <w:t xml:space="preserve"> button. After installing the license file, you can close the window and return to the main window of the program (shown below).</w:t>
      </w:r>
    </w:p>
    <w:p w14:paraId="0AA1C9D8" w14:textId="77777777" w:rsidR="0005178C" w:rsidRDefault="0005178C">
      <w:pPr>
        <w:pBdr>
          <w:top w:val="nil"/>
          <w:left w:val="nil"/>
          <w:bottom w:val="nil"/>
          <w:right w:val="nil"/>
          <w:between w:val="nil"/>
        </w:pBdr>
        <w:rPr>
          <w:rFonts w:ascii="Trebuchet MS" w:eastAsia="Trebuchet MS" w:hAnsi="Trebuchet MS" w:cs="Trebuchet MS"/>
        </w:rPr>
      </w:pPr>
    </w:p>
    <w:p w14:paraId="7BC92B52" w14:textId="77777777" w:rsidR="0005178C" w:rsidRDefault="009F6833">
      <w:pPr>
        <w:pBdr>
          <w:top w:val="nil"/>
          <w:left w:val="nil"/>
          <w:bottom w:val="nil"/>
          <w:right w:val="nil"/>
          <w:between w:val="nil"/>
        </w:pBdr>
        <w:jc w:val="center"/>
        <w:rPr>
          <w:rFonts w:ascii="Helvetica Neue" w:eastAsia="Helvetica Neue" w:hAnsi="Helvetica Neue" w:cs="Helvetica Neue"/>
          <w:color w:val="000000"/>
          <w:sz w:val="22"/>
          <w:szCs w:val="22"/>
        </w:rPr>
      </w:pPr>
      <w:r>
        <w:rPr>
          <w:rFonts w:ascii="Trebuchet MS" w:eastAsia="Trebuchet MS" w:hAnsi="Trebuchet MS" w:cs="Trebuchet MS"/>
          <w:noProof/>
        </w:rPr>
        <w:drawing>
          <wp:inline distT="114300" distB="114300" distL="114300" distR="114300" wp14:anchorId="69CEB6A4" wp14:editId="3A418EA4">
            <wp:extent cx="5033963" cy="3073621"/>
            <wp:effectExtent l="0" t="0" r="0" b="0"/>
            <wp:docPr id="2" name="image14.png" descr="Screen Shot 2017-09-05 at 11.22.18 PM.png"/>
            <wp:cNvGraphicFramePr/>
            <a:graphic xmlns:a="http://schemas.openxmlformats.org/drawingml/2006/main">
              <a:graphicData uri="http://schemas.openxmlformats.org/drawingml/2006/picture">
                <pic:pic xmlns:pic="http://schemas.openxmlformats.org/drawingml/2006/picture">
                  <pic:nvPicPr>
                    <pic:cNvPr id="0" name="image14.png" descr="Screen Shot 2017-09-05 at 11.22.18 PM.png"/>
                    <pic:cNvPicPr preferRelativeResize="0"/>
                  </pic:nvPicPr>
                  <pic:blipFill>
                    <a:blip r:embed="rId12"/>
                    <a:srcRect/>
                    <a:stretch>
                      <a:fillRect/>
                    </a:stretch>
                  </pic:blipFill>
                  <pic:spPr>
                    <a:xfrm>
                      <a:off x="0" y="0"/>
                      <a:ext cx="5033963" cy="3073621"/>
                    </a:xfrm>
                    <a:prstGeom prst="rect">
                      <a:avLst/>
                    </a:prstGeom>
                    <a:ln/>
                  </pic:spPr>
                </pic:pic>
              </a:graphicData>
            </a:graphic>
          </wp:inline>
        </w:drawing>
      </w:r>
      <w:r>
        <w:rPr>
          <w:rFonts w:ascii="Trebuchet MS" w:eastAsia="Trebuchet MS" w:hAnsi="Trebuchet MS" w:cs="Trebuchet MS"/>
        </w:rPr>
        <w:t xml:space="preserve"> </w:t>
      </w:r>
      <w:r>
        <w:br w:type="page"/>
      </w:r>
    </w:p>
    <w:p w14:paraId="6F8FF068" w14:textId="77777777" w:rsidR="0005178C" w:rsidRDefault="009F6833">
      <w:pPr>
        <w:pBdr>
          <w:top w:val="nil"/>
          <w:left w:val="nil"/>
          <w:bottom w:val="nil"/>
          <w:right w:val="nil"/>
          <w:between w:val="nil"/>
        </w:pBdr>
        <w:rPr>
          <w:rFonts w:ascii="Trebuchet MS" w:eastAsia="Trebuchet MS" w:hAnsi="Trebuchet MS" w:cs="Trebuchet MS"/>
        </w:rPr>
      </w:pPr>
      <w:r>
        <w:rPr>
          <w:rFonts w:ascii="Trebuchet MS" w:eastAsia="Trebuchet MS" w:hAnsi="Trebuchet MS" w:cs="Trebuchet MS"/>
        </w:rPr>
        <w:lastRenderedPageBreak/>
        <w:t>To start drawing the structure for trans-[</w:t>
      </w:r>
      <w:proofErr w:type="gramStart"/>
      <w:r>
        <w:rPr>
          <w:rFonts w:ascii="Trebuchet MS" w:eastAsia="Trebuchet MS" w:hAnsi="Trebuchet MS" w:cs="Trebuchet MS"/>
        </w:rPr>
        <w:t>Ni(</w:t>
      </w:r>
      <w:proofErr w:type="gramEnd"/>
      <w:r>
        <w:rPr>
          <w:rFonts w:ascii="Trebuchet MS" w:eastAsia="Trebuchet MS" w:hAnsi="Trebuchet MS" w:cs="Trebuchet MS"/>
          <w:u w:val="single"/>
        </w:rPr>
        <w:t>N</w:t>
      </w:r>
      <w:r>
        <w:rPr>
          <w:rFonts w:ascii="Trebuchet MS" w:eastAsia="Trebuchet MS" w:hAnsi="Trebuchet MS" w:cs="Trebuchet MS"/>
        </w:rPr>
        <w:t>CS)</w:t>
      </w:r>
      <w:r>
        <w:rPr>
          <w:rFonts w:ascii="Trebuchet MS" w:eastAsia="Trebuchet MS" w:hAnsi="Trebuchet MS" w:cs="Trebuchet MS"/>
          <w:vertAlign w:val="subscript"/>
        </w:rPr>
        <w:t>2</w:t>
      </w:r>
      <w:r>
        <w:rPr>
          <w:rFonts w:ascii="Trebuchet MS" w:eastAsia="Trebuchet MS" w:hAnsi="Trebuchet MS" w:cs="Trebuchet MS"/>
        </w:rPr>
        <w:t>(P(CH</w:t>
      </w:r>
      <w:r>
        <w:rPr>
          <w:rFonts w:ascii="Trebuchet MS" w:eastAsia="Trebuchet MS" w:hAnsi="Trebuchet MS" w:cs="Trebuchet MS"/>
          <w:vertAlign w:val="subscript"/>
        </w:rPr>
        <w:t>3</w:t>
      </w:r>
      <w:r>
        <w:rPr>
          <w:rFonts w:ascii="Trebuchet MS" w:eastAsia="Trebuchet MS" w:hAnsi="Trebuchet MS" w:cs="Trebuchet MS"/>
        </w:rPr>
        <w:t>)</w:t>
      </w:r>
      <w:r>
        <w:rPr>
          <w:rFonts w:ascii="Trebuchet MS" w:eastAsia="Trebuchet MS" w:hAnsi="Trebuchet MS" w:cs="Trebuchet MS"/>
          <w:vertAlign w:val="subscript"/>
        </w:rPr>
        <w:t>3</w:t>
      </w:r>
      <w:r>
        <w:rPr>
          <w:rFonts w:ascii="Trebuchet MS" w:eastAsia="Trebuchet MS" w:hAnsi="Trebuchet MS" w:cs="Trebuchet MS"/>
        </w:rPr>
        <w:t>)</w:t>
      </w:r>
      <w:r>
        <w:rPr>
          <w:rFonts w:ascii="Trebuchet MS" w:eastAsia="Trebuchet MS" w:hAnsi="Trebuchet MS" w:cs="Trebuchet MS"/>
          <w:vertAlign w:val="subscript"/>
        </w:rPr>
        <w:t>2</w:t>
      </w:r>
      <w:r>
        <w:rPr>
          <w:rFonts w:ascii="Trebuchet MS" w:eastAsia="Trebuchet MS" w:hAnsi="Trebuchet MS" w:cs="Trebuchet MS"/>
        </w:rPr>
        <w:t xml:space="preserve">] (which is the structure BAZSUR from the Teaching Subset of the Cambridge Structural Database), you will need to first draw the central nickel. You can choose the button periodic table from the menu on the right-hand side of the screen. A periodic table will appear in a new window and you can choose Ni, which will be highlighted in yellow. Hit the </w:t>
      </w:r>
      <w:r>
        <w:rPr>
          <w:rFonts w:ascii="Trebuchet MS" w:eastAsia="Trebuchet MS" w:hAnsi="Trebuchet MS" w:cs="Trebuchet MS"/>
          <w:b/>
        </w:rPr>
        <w:t>Close</w:t>
      </w:r>
      <w:r>
        <w:rPr>
          <w:rFonts w:ascii="Trebuchet MS" w:eastAsia="Trebuchet MS" w:hAnsi="Trebuchet MS" w:cs="Trebuchet MS"/>
        </w:rPr>
        <w:t xml:space="preserve"> button to return to the regular window.</w:t>
      </w:r>
    </w:p>
    <w:p w14:paraId="489922DB" w14:textId="77777777" w:rsidR="00B94F09" w:rsidRDefault="009F6833">
      <w:pPr>
        <w:pBdr>
          <w:top w:val="nil"/>
          <w:left w:val="nil"/>
          <w:bottom w:val="nil"/>
          <w:right w:val="nil"/>
          <w:between w:val="nil"/>
        </w:pBdr>
        <w:rPr>
          <w:rFonts w:ascii="Helvetica Neue" w:eastAsia="Helvetica Neue" w:hAnsi="Helvetica Neue" w:cs="Helvetica Neue"/>
          <w:sz w:val="22"/>
          <w:szCs w:val="22"/>
        </w:rPr>
      </w:pPr>
      <w:r>
        <w:rPr>
          <w:rFonts w:ascii="Trebuchet MS" w:eastAsia="Trebuchet MS" w:hAnsi="Trebuchet MS" w:cs="Trebuchet MS"/>
          <w:noProof/>
        </w:rPr>
        <w:drawing>
          <wp:inline distT="114300" distB="114300" distL="114300" distR="114300" wp14:anchorId="0009F3FC" wp14:editId="463EBA3A">
            <wp:extent cx="5486400" cy="2907792"/>
            <wp:effectExtent l="0" t="0" r="0" b="0"/>
            <wp:docPr id="4" name="image4.png" descr="MarvinExercis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MarvinExercise_06.png"/>
                    <pic:cNvPicPr preferRelativeResize="0"/>
                  </pic:nvPicPr>
                  <pic:blipFill>
                    <a:blip r:embed="rId13"/>
                    <a:srcRect/>
                    <a:stretch>
                      <a:fillRect/>
                    </a:stretch>
                  </pic:blipFill>
                  <pic:spPr>
                    <a:xfrm>
                      <a:off x="0" y="0"/>
                      <a:ext cx="5486400" cy="2907792"/>
                    </a:xfrm>
                    <a:prstGeom prst="rect">
                      <a:avLst/>
                    </a:prstGeom>
                    <a:ln/>
                  </pic:spPr>
                </pic:pic>
              </a:graphicData>
            </a:graphic>
          </wp:inline>
        </w:drawing>
      </w:r>
    </w:p>
    <w:p w14:paraId="0006BD4C" w14:textId="35BDACC0" w:rsidR="0005178C" w:rsidRDefault="009F6833">
      <w:pPr>
        <w:pBdr>
          <w:top w:val="nil"/>
          <w:left w:val="nil"/>
          <w:bottom w:val="nil"/>
          <w:right w:val="nil"/>
          <w:between w:val="nil"/>
        </w:pBdr>
        <w:rPr>
          <w:rFonts w:ascii="Helvetica Neue" w:eastAsia="Helvetica Neue" w:hAnsi="Helvetica Neue" w:cs="Helvetica Neue"/>
          <w:sz w:val="22"/>
          <w:szCs w:val="22"/>
        </w:rPr>
      </w:pPr>
      <w:bookmarkStart w:id="0" w:name="_GoBack"/>
      <w:bookmarkEnd w:id="0"/>
      <w:r>
        <w:rPr>
          <w:rFonts w:ascii="Helvetica Neue" w:eastAsia="Helvetica Neue" w:hAnsi="Helvetica Neue" w:cs="Helvetica Neue"/>
          <w:sz w:val="22"/>
          <w:szCs w:val="22"/>
        </w:rPr>
        <w:t>When you move your cursor over the main drawing window and a Ni will appear near the cursor. You can then click anywhere in the window to add a Ni.</w:t>
      </w:r>
    </w:p>
    <w:p w14:paraId="1D98B54C" w14:textId="77777777" w:rsidR="0005178C" w:rsidRDefault="009F6833">
      <w:pPr>
        <w:pBdr>
          <w:top w:val="nil"/>
          <w:left w:val="nil"/>
          <w:bottom w:val="nil"/>
          <w:right w:val="nil"/>
          <w:between w:val="nil"/>
        </w:pBdr>
        <w:jc w:val="cente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29630569" wp14:editId="4C2259DA">
            <wp:extent cx="5486400" cy="3346704"/>
            <wp:effectExtent l="0" t="0" r="0" b="0"/>
            <wp:docPr id="15" name="image1.png" descr="MarvinExercis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MarvinExercise_09.png"/>
                    <pic:cNvPicPr preferRelativeResize="0"/>
                  </pic:nvPicPr>
                  <pic:blipFill>
                    <a:blip r:embed="rId14"/>
                    <a:srcRect/>
                    <a:stretch>
                      <a:fillRect/>
                    </a:stretch>
                  </pic:blipFill>
                  <pic:spPr>
                    <a:xfrm>
                      <a:off x="0" y="0"/>
                      <a:ext cx="5486400" cy="3346704"/>
                    </a:xfrm>
                    <a:prstGeom prst="rect">
                      <a:avLst/>
                    </a:prstGeom>
                    <a:ln/>
                  </pic:spPr>
                </pic:pic>
              </a:graphicData>
            </a:graphic>
          </wp:inline>
        </w:drawing>
      </w:r>
    </w:p>
    <w:p w14:paraId="066FF04B" w14:textId="77777777" w:rsidR="0005178C" w:rsidRDefault="0005178C">
      <w:pPr>
        <w:pBdr>
          <w:top w:val="nil"/>
          <w:left w:val="nil"/>
          <w:bottom w:val="nil"/>
          <w:right w:val="nil"/>
          <w:between w:val="nil"/>
        </w:pBdr>
        <w:rPr>
          <w:rFonts w:ascii="Helvetica Neue" w:eastAsia="Helvetica Neue" w:hAnsi="Helvetica Neue" w:cs="Helvetica Neue"/>
          <w:sz w:val="22"/>
          <w:szCs w:val="22"/>
        </w:rPr>
      </w:pPr>
    </w:p>
    <w:p w14:paraId="0F621988"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To add the groups around the central atom, you have to choose the bonds that need to be added. On the left-hand side of the window choose the second button from the top and a menu will appear. Choose the single bond and add four of them to the central nickel by clicking and holding the mouse button on the Ni and dragging away from it. When you add the bonds it will automatically put carbons as the atom at the end of the bond and it will add hydrogens to complete its valence (see below).</w:t>
      </w:r>
      <w:r>
        <w:rPr>
          <w:noProof/>
        </w:rPr>
        <w:drawing>
          <wp:anchor distT="114300" distB="114300" distL="114300" distR="114300" simplePos="0" relativeHeight="251659264" behindDoc="0" locked="0" layoutInCell="1" hidden="0" allowOverlap="1" wp14:anchorId="075FB875" wp14:editId="7E3406F0">
            <wp:simplePos x="0" y="0"/>
            <wp:positionH relativeFrom="column">
              <wp:posOffset>4124325</wp:posOffset>
            </wp:positionH>
            <wp:positionV relativeFrom="paragraph">
              <wp:posOffset>171450</wp:posOffset>
            </wp:positionV>
            <wp:extent cx="2049469" cy="2728913"/>
            <wp:effectExtent l="0" t="0" r="0" b="0"/>
            <wp:wrapSquare wrapText="bothSides" distT="114300" distB="114300" distL="114300" distR="114300"/>
            <wp:docPr id="5" name="image9.png" descr="MarvinExercise_08.png"/>
            <wp:cNvGraphicFramePr/>
            <a:graphic xmlns:a="http://schemas.openxmlformats.org/drawingml/2006/main">
              <a:graphicData uri="http://schemas.openxmlformats.org/drawingml/2006/picture">
                <pic:pic xmlns:pic="http://schemas.openxmlformats.org/drawingml/2006/picture">
                  <pic:nvPicPr>
                    <pic:cNvPr id="0" name="image9.png" descr="MarvinExercise_08.png"/>
                    <pic:cNvPicPr preferRelativeResize="0"/>
                  </pic:nvPicPr>
                  <pic:blipFill>
                    <a:blip r:embed="rId15"/>
                    <a:srcRect/>
                    <a:stretch>
                      <a:fillRect/>
                    </a:stretch>
                  </pic:blipFill>
                  <pic:spPr>
                    <a:xfrm>
                      <a:off x="0" y="0"/>
                      <a:ext cx="2049469" cy="2728913"/>
                    </a:xfrm>
                    <a:prstGeom prst="rect">
                      <a:avLst/>
                    </a:prstGeom>
                    <a:ln/>
                  </pic:spPr>
                </pic:pic>
              </a:graphicData>
            </a:graphic>
          </wp:anchor>
        </w:drawing>
      </w:r>
    </w:p>
    <w:p w14:paraId="417A374B" w14:textId="77777777" w:rsidR="0005178C" w:rsidRDefault="0005178C">
      <w:pPr>
        <w:pBdr>
          <w:top w:val="nil"/>
          <w:left w:val="nil"/>
          <w:bottom w:val="nil"/>
          <w:right w:val="nil"/>
          <w:between w:val="nil"/>
        </w:pBdr>
        <w:rPr>
          <w:rFonts w:ascii="Helvetica Neue" w:eastAsia="Helvetica Neue" w:hAnsi="Helvetica Neue" w:cs="Helvetica Neue"/>
          <w:sz w:val="22"/>
          <w:szCs w:val="22"/>
        </w:rPr>
      </w:pPr>
    </w:p>
    <w:p w14:paraId="08A81DA1" w14:textId="77777777" w:rsidR="0005178C" w:rsidRDefault="009F6833">
      <w:pPr>
        <w:pBdr>
          <w:top w:val="nil"/>
          <w:left w:val="nil"/>
          <w:bottom w:val="nil"/>
          <w:right w:val="nil"/>
          <w:between w:val="nil"/>
        </w:pBdr>
        <w:ind w:left="720" w:firstLine="720"/>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2CFB2C5C" wp14:editId="3AE192F9">
            <wp:extent cx="2009775" cy="1590675"/>
            <wp:effectExtent l="0" t="0" r="0" b="0"/>
            <wp:docPr id="10" name="image13.png" descr="MarvinExercise_10.png"/>
            <wp:cNvGraphicFramePr/>
            <a:graphic xmlns:a="http://schemas.openxmlformats.org/drawingml/2006/main">
              <a:graphicData uri="http://schemas.openxmlformats.org/drawingml/2006/picture">
                <pic:pic xmlns:pic="http://schemas.openxmlformats.org/drawingml/2006/picture">
                  <pic:nvPicPr>
                    <pic:cNvPr id="0" name="image13.png" descr="MarvinExercise_10.png"/>
                    <pic:cNvPicPr preferRelativeResize="0"/>
                  </pic:nvPicPr>
                  <pic:blipFill>
                    <a:blip r:embed="rId16"/>
                    <a:srcRect l="41256" t="33369" r="42467" b="45406"/>
                    <a:stretch>
                      <a:fillRect/>
                    </a:stretch>
                  </pic:blipFill>
                  <pic:spPr>
                    <a:xfrm>
                      <a:off x="0" y="0"/>
                      <a:ext cx="2009775" cy="1590675"/>
                    </a:xfrm>
                    <a:prstGeom prst="rect">
                      <a:avLst/>
                    </a:prstGeom>
                    <a:ln/>
                  </pic:spPr>
                </pic:pic>
              </a:graphicData>
            </a:graphic>
          </wp:inline>
        </w:drawing>
      </w:r>
    </w:p>
    <w:p w14:paraId="348553C0"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You can then change these atoms to N and P by choosing the appropriate buttons from the menu on the right-hand side of the window. Again the valences will be filled with hydrogens by default.</w:t>
      </w:r>
    </w:p>
    <w:p w14:paraId="79EAB14E"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r>
        <w:rPr>
          <w:rFonts w:ascii="Helvetica Neue" w:eastAsia="Helvetica Neue" w:hAnsi="Helvetica Neue" w:cs="Helvetica Neue"/>
          <w:noProof/>
          <w:sz w:val="22"/>
          <w:szCs w:val="22"/>
        </w:rPr>
        <w:drawing>
          <wp:inline distT="114300" distB="114300" distL="114300" distR="114300" wp14:anchorId="7AD03438" wp14:editId="6C67AA84">
            <wp:extent cx="5486400" cy="3355848"/>
            <wp:effectExtent l="0" t="0" r="0" b="0"/>
            <wp:docPr id="11" name="image5.png" descr="MarvinExercis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MarvinExercise_11.png"/>
                    <pic:cNvPicPr preferRelativeResize="0"/>
                  </pic:nvPicPr>
                  <pic:blipFill>
                    <a:blip r:embed="rId17"/>
                    <a:srcRect/>
                    <a:stretch>
                      <a:fillRect/>
                    </a:stretch>
                  </pic:blipFill>
                  <pic:spPr>
                    <a:xfrm>
                      <a:off x="0" y="0"/>
                      <a:ext cx="5486400" cy="3355848"/>
                    </a:xfrm>
                    <a:prstGeom prst="rect">
                      <a:avLst/>
                    </a:prstGeom>
                    <a:ln/>
                  </pic:spPr>
                </pic:pic>
              </a:graphicData>
            </a:graphic>
          </wp:inline>
        </w:drawing>
      </w:r>
    </w:p>
    <w:p w14:paraId="3BA10542" w14:textId="35242AFC" w:rsidR="0005178C" w:rsidRDefault="009F6833" w:rsidP="007459F8">
      <w:pPr>
        <w:rPr>
          <w:rFonts w:ascii="Helvetica Neue" w:eastAsia="Helvetica Neue" w:hAnsi="Helvetica Neue" w:cs="Helvetica Neue"/>
          <w:sz w:val="22"/>
          <w:szCs w:val="22"/>
        </w:rPr>
      </w:pPr>
      <w:r>
        <w:rPr>
          <w:rFonts w:ascii="Helvetica Neue" w:eastAsia="Helvetica Neue" w:hAnsi="Helvetica Neue" w:cs="Helvetica Neue"/>
          <w:sz w:val="22"/>
          <w:szCs w:val="22"/>
        </w:rPr>
        <w:t>Next, we will convert the NH</w:t>
      </w:r>
      <w:r>
        <w:rPr>
          <w:rFonts w:ascii="Helvetica Neue" w:eastAsia="Helvetica Neue" w:hAnsi="Helvetica Neue" w:cs="Helvetica Neue"/>
          <w:sz w:val="22"/>
          <w:szCs w:val="22"/>
          <w:vertAlign w:val="subscript"/>
        </w:rPr>
        <w:t>2</w:t>
      </w:r>
      <w:r>
        <w:rPr>
          <w:rFonts w:ascii="Helvetica Neue" w:eastAsia="Helvetica Neue" w:hAnsi="Helvetica Neue" w:cs="Helvetica Neue"/>
          <w:sz w:val="22"/>
          <w:szCs w:val="22"/>
        </w:rPr>
        <w:t xml:space="preserve"> groups to the NCS groups attached to the nickel. Go back to the bond button and choose the double bond. You can then add a double bond to a carbon to each nitrogen. You can then add another double bond to these carbons and then change the terminal atom to a sulfur. Once you have completed this you will have the following structure.</w:t>
      </w:r>
    </w:p>
    <w:p w14:paraId="2B537BA3"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noProof/>
          <w:sz w:val="22"/>
          <w:szCs w:val="22"/>
        </w:rPr>
        <w:lastRenderedPageBreak/>
        <w:drawing>
          <wp:inline distT="114300" distB="114300" distL="114300" distR="114300" wp14:anchorId="0C574EBC" wp14:editId="4C7ABC82">
            <wp:extent cx="5486400" cy="3346704"/>
            <wp:effectExtent l="0" t="0" r="0" b="0"/>
            <wp:docPr id="1" name="image8.png" descr="MarvinExercis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MarvinExercise_12.png"/>
                    <pic:cNvPicPr preferRelativeResize="0"/>
                  </pic:nvPicPr>
                  <pic:blipFill>
                    <a:blip r:embed="rId18"/>
                    <a:srcRect/>
                    <a:stretch>
                      <a:fillRect/>
                    </a:stretch>
                  </pic:blipFill>
                  <pic:spPr>
                    <a:xfrm>
                      <a:off x="0" y="0"/>
                      <a:ext cx="5486400" cy="3346704"/>
                    </a:xfrm>
                    <a:prstGeom prst="rect">
                      <a:avLst/>
                    </a:prstGeom>
                    <a:ln/>
                  </pic:spPr>
                </pic:pic>
              </a:graphicData>
            </a:graphic>
          </wp:inline>
        </w:drawing>
      </w:r>
    </w:p>
    <w:p w14:paraId="3CBADAB5" w14:textId="33151C87" w:rsidR="0005178C" w:rsidRDefault="007459F8">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Y</w:t>
      </w:r>
      <w:r w:rsidR="009F6833">
        <w:rPr>
          <w:rFonts w:ascii="Helvetica Neue" w:eastAsia="Helvetica Neue" w:hAnsi="Helvetica Neue" w:cs="Helvetica Neue"/>
          <w:sz w:val="22"/>
          <w:szCs w:val="22"/>
        </w:rPr>
        <w:t xml:space="preserve">ou can now elaborate the phosphorus atoms to the </w:t>
      </w:r>
      <w:proofErr w:type="spellStart"/>
      <w:r w:rsidR="009F6833">
        <w:rPr>
          <w:rFonts w:ascii="Helvetica Neue" w:eastAsia="Helvetica Neue" w:hAnsi="Helvetica Neue" w:cs="Helvetica Neue"/>
          <w:sz w:val="22"/>
          <w:szCs w:val="22"/>
        </w:rPr>
        <w:t>trimethylphosphine</w:t>
      </w:r>
      <w:proofErr w:type="spellEnd"/>
      <w:r w:rsidR="009F6833">
        <w:rPr>
          <w:rFonts w:ascii="Helvetica Neue" w:eastAsia="Helvetica Neue" w:hAnsi="Helvetica Neue" w:cs="Helvetica Neue"/>
          <w:sz w:val="22"/>
          <w:szCs w:val="22"/>
        </w:rPr>
        <w:t xml:space="preserve"> ligands found in the structure. You can go to the single bond tool to add three bonds to carbon on each phosphorus. To indicate three-dimensional shape, you can use the dash and wedge bonds to differentiate the methyl groups.</w:t>
      </w:r>
    </w:p>
    <w:p w14:paraId="676517F6"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607F2744" wp14:editId="4BF432B8">
            <wp:extent cx="5486400" cy="3346704"/>
            <wp:effectExtent l="0" t="0" r="0" b="0"/>
            <wp:docPr id="12" name="image6.png" descr="MarvinExercis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MarvinExercise_13.png"/>
                    <pic:cNvPicPr preferRelativeResize="0"/>
                  </pic:nvPicPr>
                  <pic:blipFill>
                    <a:blip r:embed="rId19"/>
                    <a:srcRect/>
                    <a:stretch>
                      <a:fillRect/>
                    </a:stretch>
                  </pic:blipFill>
                  <pic:spPr>
                    <a:xfrm>
                      <a:off x="0" y="0"/>
                      <a:ext cx="5486400" cy="3346704"/>
                    </a:xfrm>
                    <a:prstGeom prst="rect">
                      <a:avLst/>
                    </a:prstGeom>
                    <a:ln/>
                  </pic:spPr>
                </pic:pic>
              </a:graphicData>
            </a:graphic>
          </wp:inline>
        </w:drawing>
      </w:r>
    </w:p>
    <w:p w14:paraId="2C5519C7"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At this point you will notice that the phosphorus has a hydrogen that was automatically placed in the drawing by the program. This is because phosphorus usually forms either 3 or 5 covalent bonds and the program is trying to follow those conventions. The Ni-P bond is best described as a coordinate </w:t>
      </w:r>
      <w:r>
        <w:rPr>
          <w:rFonts w:ascii="Helvetica Neue" w:eastAsia="Helvetica Neue" w:hAnsi="Helvetica Neue" w:cs="Helvetica Neue"/>
          <w:sz w:val="22"/>
          <w:szCs w:val="22"/>
        </w:rPr>
        <w:lastRenderedPageBreak/>
        <w:t xml:space="preserve">bond and not a covalent bond. This hydrogen can be removed by changing the Ni-P bond to a coordinate bond. The coordinate bond should be chosen in the bond tool and then you can convert the bonds by clicking on the Ni-P bonds in the structure. The bond will then be an arrow pointing towards the Ni - you may have to click the bond again to reverse the initial direction of the arrow. (The style of coordinate bonds in a document can be changed to a line in the </w:t>
      </w:r>
      <w:r>
        <w:rPr>
          <w:rFonts w:ascii="Helvetica Neue" w:eastAsia="Helvetica Neue" w:hAnsi="Helvetica Neue" w:cs="Helvetica Neue"/>
          <w:i/>
          <w:sz w:val="22"/>
          <w:szCs w:val="22"/>
        </w:rPr>
        <w:t>Bonds</w:t>
      </w:r>
      <w:r>
        <w:rPr>
          <w:rFonts w:ascii="Helvetica Neue" w:eastAsia="Helvetica Neue" w:hAnsi="Helvetica Neue" w:cs="Helvetica Neue"/>
          <w:sz w:val="22"/>
          <w:szCs w:val="22"/>
        </w:rPr>
        <w:t xml:space="preserve"> section of the Preferences box - </w:t>
      </w:r>
      <w:r>
        <w:rPr>
          <w:rFonts w:ascii="Helvetica Neue" w:eastAsia="Helvetica Neue" w:hAnsi="Helvetica Neue" w:cs="Helvetica Neue"/>
          <w:i/>
          <w:sz w:val="22"/>
          <w:szCs w:val="22"/>
        </w:rPr>
        <w:t>Edit &gt; Preferences…</w:t>
      </w:r>
      <w:r>
        <w:rPr>
          <w:rFonts w:ascii="Helvetica Neue" w:eastAsia="Helvetica Neue" w:hAnsi="Helvetica Neue" w:cs="Helvetica Neue"/>
          <w:sz w:val="22"/>
          <w:szCs w:val="22"/>
        </w:rPr>
        <w:t>).</w:t>
      </w:r>
    </w:p>
    <w:p w14:paraId="57CA9FDD"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noProof/>
          <w:sz w:val="22"/>
          <w:szCs w:val="22"/>
        </w:rPr>
        <w:drawing>
          <wp:inline distT="114300" distB="114300" distL="114300" distR="114300" wp14:anchorId="1BADFAE2" wp14:editId="2DE6AE3F">
            <wp:extent cx="5486400" cy="3355848"/>
            <wp:effectExtent l="0" t="0" r="0" b="0"/>
            <wp:docPr id="8" name="image3.png" descr="MarvinExercis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MarvinExercise_14.png"/>
                    <pic:cNvPicPr preferRelativeResize="0"/>
                  </pic:nvPicPr>
                  <pic:blipFill>
                    <a:blip r:embed="rId20"/>
                    <a:srcRect/>
                    <a:stretch>
                      <a:fillRect/>
                    </a:stretch>
                  </pic:blipFill>
                  <pic:spPr>
                    <a:xfrm>
                      <a:off x="0" y="0"/>
                      <a:ext cx="5486400" cy="3355848"/>
                    </a:xfrm>
                    <a:prstGeom prst="rect">
                      <a:avLst/>
                    </a:prstGeom>
                    <a:ln/>
                  </pic:spPr>
                </pic:pic>
              </a:graphicData>
            </a:graphic>
          </wp:inline>
        </w:drawing>
      </w:r>
    </w:p>
    <w:p w14:paraId="74DAA31D" w14:textId="77777777" w:rsidR="0005178C" w:rsidRDefault="0005178C">
      <w:pPr>
        <w:pBdr>
          <w:top w:val="nil"/>
          <w:left w:val="nil"/>
          <w:bottom w:val="nil"/>
          <w:right w:val="nil"/>
          <w:between w:val="nil"/>
        </w:pBdr>
        <w:rPr>
          <w:rFonts w:ascii="Helvetica Neue" w:eastAsia="Helvetica Neue" w:hAnsi="Helvetica Neue" w:cs="Helvetica Neue"/>
          <w:sz w:val="22"/>
          <w:szCs w:val="22"/>
        </w:rPr>
      </w:pPr>
    </w:p>
    <w:p w14:paraId="02B0773D" w14:textId="4791D9B1" w:rsidR="0005178C" w:rsidRDefault="009F6833">
      <w:p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You now have an electronic version of the structure on your screen. You can get this image into another document in one of two ways.</w:t>
      </w:r>
    </w:p>
    <w:p w14:paraId="46DB219F" w14:textId="77777777" w:rsidR="0005178C" w:rsidRDefault="009F6833">
      <w:pPr>
        <w:pBdr>
          <w:top w:val="nil"/>
          <w:left w:val="nil"/>
          <w:bottom w:val="nil"/>
          <w:right w:val="nil"/>
          <w:between w:val="nil"/>
        </w:pBdr>
        <w:rPr>
          <w:rFonts w:ascii="Helvetica Neue" w:eastAsia="Helvetica Neue" w:hAnsi="Helvetica Neue" w:cs="Helvetica Neue"/>
          <w:sz w:val="22"/>
          <w:szCs w:val="22"/>
        </w:rPr>
      </w:pPr>
      <w:r>
        <w:rPr>
          <w:noProof/>
        </w:rPr>
        <w:drawing>
          <wp:anchor distT="57150" distB="57150" distL="57150" distR="57150" simplePos="0" relativeHeight="251660288" behindDoc="0" locked="0" layoutInCell="1" hidden="0" allowOverlap="1" wp14:anchorId="1C3FA295" wp14:editId="504CDE4F">
            <wp:simplePos x="0" y="0"/>
            <wp:positionH relativeFrom="column">
              <wp:posOffset>3876675</wp:posOffset>
            </wp:positionH>
            <wp:positionV relativeFrom="paragraph">
              <wp:posOffset>66675</wp:posOffset>
            </wp:positionV>
            <wp:extent cx="2324100" cy="2228850"/>
            <wp:effectExtent l="0" t="0" r="0" b="0"/>
            <wp:wrapSquare wrapText="bothSides" distT="57150" distB="57150" distL="57150" distR="5715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4832" r="4460" b="9652"/>
                    <a:stretch>
                      <a:fillRect/>
                    </a:stretch>
                  </pic:blipFill>
                  <pic:spPr>
                    <a:xfrm>
                      <a:off x="0" y="0"/>
                      <a:ext cx="2324100" cy="2228850"/>
                    </a:xfrm>
                    <a:prstGeom prst="rect">
                      <a:avLst/>
                    </a:prstGeom>
                    <a:ln/>
                  </pic:spPr>
                </pic:pic>
              </a:graphicData>
            </a:graphic>
          </wp:anchor>
        </w:drawing>
      </w:r>
    </w:p>
    <w:p w14:paraId="5FA5AF06" w14:textId="77777777" w:rsidR="0005178C" w:rsidRDefault="009F6833">
      <w:pPr>
        <w:numPr>
          <w:ilvl w:val="0"/>
          <w:numId w:val="1"/>
        </w:numPr>
        <w:pBdr>
          <w:top w:val="nil"/>
          <w:left w:val="nil"/>
          <w:bottom w:val="nil"/>
          <w:right w:val="nil"/>
          <w:between w:val="nil"/>
        </w:pBd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Select the image. Choose Edit &gt; </w:t>
      </w:r>
      <w:r>
        <w:rPr>
          <w:rFonts w:ascii="Helvetica Neue" w:eastAsia="Helvetica Neue" w:hAnsi="Helvetica Neue" w:cs="Helvetica Neue"/>
          <w:i/>
          <w:sz w:val="22"/>
          <w:szCs w:val="22"/>
        </w:rPr>
        <w:t>Copy As...</w:t>
      </w:r>
      <w:r>
        <w:rPr>
          <w:rFonts w:ascii="Helvetica Neue" w:eastAsia="Helvetica Neue" w:hAnsi="Helvetica Neue" w:cs="Helvetica Neue"/>
          <w:sz w:val="22"/>
          <w:szCs w:val="22"/>
        </w:rPr>
        <w:t xml:space="preserve"> (which can also be accessed from the contextual menu that appears when you right-click on the selected structure). Choose an image type (PNG is a good choice) from the bottom of the list that appears in the pop-up window and hit the </w:t>
      </w:r>
      <w:r>
        <w:rPr>
          <w:rFonts w:ascii="Helvetica Neue" w:eastAsia="Helvetica Neue" w:hAnsi="Helvetica Neue" w:cs="Helvetica Neue"/>
          <w:b/>
          <w:sz w:val="22"/>
          <w:szCs w:val="22"/>
        </w:rPr>
        <w:t>OK</w:t>
      </w:r>
      <w:r>
        <w:rPr>
          <w:rFonts w:ascii="Helvetica Neue" w:eastAsia="Helvetica Neue" w:hAnsi="Helvetica Neue" w:cs="Helvetica Neue"/>
          <w:sz w:val="22"/>
          <w:szCs w:val="22"/>
        </w:rPr>
        <w:t xml:space="preserve"> button. This structure can now be pasted into another program. </w:t>
      </w:r>
    </w:p>
    <w:p w14:paraId="6A113D63" w14:textId="41593477" w:rsidR="007459F8" w:rsidRDefault="007459F8">
      <w:pPr>
        <w:rPr>
          <w:rFonts w:ascii="Helvetica Neue" w:eastAsia="Helvetica Neue" w:hAnsi="Helvetica Neue" w:cs="Helvetica Neue"/>
          <w:sz w:val="22"/>
          <w:szCs w:val="22"/>
        </w:rPr>
      </w:pPr>
      <w:r>
        <w:rPr>
          <w:rFonts w:ascii="Helvetica Neue" w:eastAsia="Helvetica Neue" w:hAnsi="Helvetica Neue" w:cs="Helvetica Neue"/>
          <w:sz w:val="22"/>
          <w:szCs w:val="22"/>
        </w:rPr>
        <w:br w:type="page"/>
      </w:r>
    </w:p>
    <w:p w14:paraId="163E98EB" w14:textId="79734BBD" w:rsidR="0005178C" w:rsidRDefault="007459F8">
      <w:pPr>
        <w:rPr>
          <w:rFonts w:ascii="Helvetica Neue" w:eastAsia="Helvetica Neue" w:hAnsi="Helvetica Neue" w:cs="Helvetica Neue"/>
          <w:sz w:val="22"/>
          <w:szCs w:val="22"/>
        </w:rPr>
      </w:pPr>
      <w:r>
        <w:rPr>
          <w:noProof/>
        </w:rPr>
        <w:lastRenderedPageBreak/>
        <w:drawing>
          <wp:anchor distT="114300" distB="114300" distL="114300" distR="114300" simplePos="0" relativeHeight="251661312" behindDoc="0" locked="0" layoutInCell="1" hidden="0" allowOverlap="1" wp14:anchorId="2FF94EAC" wp14:editId="09A66405">
            <wp:simplePos x="0" y="0"/>
            <wp:positionH relativeFrom="column">
              <wp:posOffset>3190875</wp:posOffset>
            </wp:positionH>
            <wp:positionV relativeFrom="paragraph">
              <wp:posOffset>166370</wp:posOffset>
            </wp:positionV>
            <wp:extent cx="3338195" cy="2696210"/>
            <wp:effectExtent l="0" t="0" r="0" b="0"/>
            <wp:wrapSquare wrapText="bothSides" distT="114300" distB="114300" distL="114300" distR="114300"/>
            <wp:docPr id="3" name="image12.png" descr="MarvinExercise_16.png"/>
            <wp:cNvGraphicFramePr/>
            <a:graphic xmlns:a="http://schemas.openxmlformats.org/drawingml/2006/main">
              <a:graphicData uri="http://schemas.openxmlformats.org/drawingml/2006/picture">
                <pic:pic xmlns:pic="http://schemas.openxmlformats.org/drawingml/2006/picture">
                  <pic:nvPicPr>
                    <pic:cNvPr id="0" name="image12.png" descr="MarvinExercise_16.png"/>
                    <pic:cNvPicPr preferRelativeResize="0"/>
                  </pic:nvPicPr>
                  <pic:blipFill>
                    <a:blip r:embed="rId22"/>
                    <a:srcRect/>
                    <a:stretch>
                      <a:fillRect/>
                    </a:stretch>
                  </pic:blipFill>
                  <pic:spPr>
                    <a:xfrm>
                      <a:off x="0" y="0"/>
                      <a:ext cx="3338195" cy="2696210"/>
                    </a:xfrm>
                    <a:prstGeom prst="rect">
                      <a:avLst/>
                    </a:prstGeom>
                    <a:ln/>
                  </pic:spPr>
                </pic:pic>
              </a:graphicData>
            </a:graphic>
          </wp:anchor>
        </w:drawing>
      </w:r>
    </w:p>
    <w:p w14:paraId="326CF92D" w14:textId="749EA36F" w:rsidR="0005178C" w:rsidRDefault="009F6833">
      <w:pPr>
        <w:numPr>
          <w:ilvl w:val="0"/>
          <w:numId w:val="1"/>
        </w:num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Select the image. Choose </w:t>
      </w:r>
      <w:r>
        <w:rPr>
          <w:rFonts w:ascii="Helvetica Neue" w:eastAsia="Helvetica Neue" w:hAnsi="Helvetica Neue" w:cs="Helvetica Neue"/>
          <w:i/>
          <w:sz w:val="22"/>
          <w:szCs w:val="22"/>
        </w:rPr>
        <w:t>File &gt; Export to Image</w:t>
      </w:r>
      <w:r>
        <w:rPr>
          <w:rFonts w:ascii="Helvetica Neue" w:eastAsia="Helvetica Neue" w:hAnsi="Helvetica Neue" w:cs="Helvetica Neue"/>
          <w:sz w:val="22"/>
          <w:szCs w:val="22"/>
        </w:rPr>
        <w:t xml:space="preserve">. Your </w:t>
      </w:r>
      <w:r w:rsidR="007459F8">
        <w:rPr>
          <w:rFonts w:ascii="Helvetica Neue" w:eastAsia="Helvetica Neue" w:hAnsi="Helvetica Neue" w:cs="Helvetica Neue"/>
          <w:sz w:val="22"/>
          <w:szCs w:val="22"/>
        </w:rPr>
        <w:t xml:space="preserve">structure </w:t>
      </w:r>
      <w:r>
        <w:rPr>
          <w:rFonts w:ascii="Helvetica Neue" w:eastAsia="Helvetica Neue" w:hAnsi="Helvetica Neue" w:cs="Helvetica Neue"/>
          <w:sz w:val="22"/>
          <w:szCs w:val="22"/>
        </w:rPr>
        <w:t xml:space="preserve">can be saved as an image file on your hard drive.  Saving it as a Portable Network Graphics (PNG) file using the default settings is a good choice. Once you have entered a name for the file, chosen where the save the file, and selected the image format from the drop-down menu, choose the </w:t>
      </w:r>
      <w:r>
        <w:rPr>
          <w:rFonts w:ascii="Helvetica Neue" w:eastAsia="Helvetica Neue" w:hAnsi="Helvetica Neue" w:cs="Helvetica Neue"/>
          <w:b/>
          <w:sz w:val="22"/>
          <w:szCs w:val="22"/>
        </w:rPr>
        <w:t>Save</w:t>
      </w:r>
      <w:r>
        <w:rPr>
          <w:rFonts w:ascii="Helvetica Neue" w:eastAsia="Helvetica Neue" w:hAnsi="Helvetica Neue" w:cs="Helvetica Neue"/>
          <w:sz w:val="22"/>
          <w:szCs w:val="22"/>
        </w:rPr>
        <w:t xml:space="preserve"> button. This image can now be inserted into another document by using the appropriate procedure in your desired program.</w:t>
      </w:r>
    </w:p>
    <w:p w14:paraId="199FF0A4" w14:textId="77777777" w:rsidR="0005178C" w:rsidRDefault="0005178C">
      <w:pPr>
        <w:pBdr>
          <w:top w:val="nil"/>
          <w:left w:val="nil"/>
          <w:bottom w:val="nil"/>
          <w:right w:val="nil"/>
          <w:between w:val="nil"/>
        </w:pBdr>
        <w:rPr>
          <w:rFonts w:ascii="Helvetica Neue" w:eastAsia="Helvetica Neue" w:hAnsi="Helvetica Neue" w:cs="Helvetica Neue"/>
          <w:sz w:val="22"/>
          <w:szCs w:val="22"/>
        </w:rPr>
      </w:pPr>
    </w:p>
    <w:sectPr w:rsidR="0005178C">
      <w:headerReference w:type="default" r:id="rId23"/>
      <w:footerReference w:type="default" r:id="rId2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35F0B" w14:textId="77777777" w:rsidR="00BE7580" w:rsidRDefault="00BE7580">
      <w:r>
        <w:separator/>
      </w:r>
    </w:p>
  </w:endnote>
  <w:endnote w:type="continuationSeparator" w:id="0">
    <w:p w14:paraId="1A9636D2" w14:textId="77777777" w:rsidR="00BE7580" w:rsidRDefault="00BE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Neue">
    <w:altName w:val="Myriad Pro"/>
    <w:charset w:val="00"/>
    <w:family w:val="auto"/>
    <w:pitch w:val="variable"/>
    <w:sig w:usb0="00000003"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3F571" w14:textId="77777777" w:rsidR="0005178C" w:rsidRDefault="009F6833">
    <w:pPr>
      <w:spacing w:after="864"/>
    </w:pPr>
    <w:r>
      <w:rPr>
        <w:noProof/>
      </w:rPr>
      <w:drawing>
        <wp:anchor distT="114300" distB="114300" distL="114300" distR="114300" simplePos="0" relativeHeight="251658240" behindDoc="0" locked="0" layoutInCell="1" hidden="0" allowOverlap="1" wp14:anchorId="7C6D7AEA" wp14:editId="0F115FC4">
          <wp:simplePos x="0" y="0"/>
          <wp:positionH relativeFrom="column">
            <wp:posOffset>3219450</wp:posOffset>
          </wp:positionH>
          <wp:positionV relativeFrom="paragraph">
            <wp:posOffset>3409950</wp:posOffset>
          </wp:positionV>
          <wp:extent cx="3338513" cy="2696491"/>
          <wp:effectExtent l="0" t="0" r="0" b="0"/>
          <wp:wrapSquare wrapText="bothSides" distT="114300" distB="114300" distL="114300" distR="114300"/>
          <wp:docPr id="7" name="image11.png" descr="MarvinExercise_16.png"/>
          <wp:cNvGraphicFramePr/>
          <a:graphic xmlns:a="http://schemas.openxmlformats.org/drawingml/2006/main">
            <a:graphicData uri="http://schemas.openxmlformats.org/drawingml/2006/picture">
              <pic:pic xmlns:pic="http://schemas.openxmlformats.org/drawingml/2006/picture">
                <pic:nvPicPr>
                  <pic:cNvPr id="0" name="image11.png" descr="MarvinExercise_16.png"/>
                  <pic:cNvPicPr preferRelativeResize="0"/>
                </pic:nvPicPr>
                <pic:blipFill>
                  <a:blip r:embed="rId1"/>
                  <a:srcRect/>
                  <a:stretch>
                    <a:fillRect/>
                  </a:stretch>
                </pic:blipFill>
                <pic:spPr>
                  <a:xfrm>
                    <a:off x="0" y="0"/>
                    <a:ext cx="3338513" cy="269649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38F55" w14:textId="77777777" w:rsidR="00BE7580" w:rsidRDefault="00BE7580">
      <w:r>
        <w:separator/>
      </w:r>
    </w:p>
  </w:footnote>
  <w:footnote w:type="continuationSeparator" w:id="0">
    <w:p w14:paraId="1F4ACF78" w14:textId="77777777" w:rsidR="00BE7580" w:rsidRDefault="00BE7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CF3F7" w14:textId="77777777" w:rsidR="007459F8" w:rsidRDefault="007459F8">
    <w:pPr>
      <w:pBdr>
        <w:top w:val="nil"/>
        <w:left w:val="nil"/>
        <w:bottom w:val="nil"/>
        <w:right w:val="nil"/>
        <w:between w:val="nil"/>
      </w:pBdr>
      <w:tabs>
        <w:tab w:val="center" w:pos="4680"/>
        <w:tab w:val="right" w:pos="9360"/>
      </w:tabs>
      <w:rPr>
        <w:rFonts w:ascii="Trebuchet MS" w:eastAsia="Trebuchet MS" w:hAnsi="Trebuchet MS" w:cs="Trebuchet MS"/>
        <w:sz w:val="20"/>
        <w:szCs w:val="20"/>
      </w:rPr>
    </w:pPr>
  </w:p>
  <w:p w14:paraId="1DCF8C14" w14:textId="2FA47F1B" w:rsidR="0005178C" w:rsidRDefault="009F6833">
    <w:pPr>
      <w:pBdr>
        <w:top w:val="nil"/>
        <w:left w:val="nil"/>
        <w:bottom w:val="nil"/>
        <w:right w:val="nil"/>
        <w:between w:val="nil"/>
      </w:pBdr>
      <w:tabs>
        <w:tab w:val="center" w:pos="4680"/>
        <w:tab w:val="right" w:pos="9360"/>
      </w:tabs>
      <w:rPr>
        <w:rFonts w:ascii="Trebuchet MS" w:eastAsia="Trebuchet MS" w:hAnsi="Trebuchet MS" w:cs="Trebuchet MS"/>
        <w:sz w:val="20"/>
        <w:szCs w:val="20"/>
      </w:rPr>
    </w:pPr>
    <w:r>
      <w:rPr>
        <w:rFonts w:ascii="Trebuchet MS" w:eastAsia="Trebuchet MS" w:hAnsi="Trebuchet MS" w:cs="Trebuchet MS"/>
        <w:sz w:val="20"/>
        <w:szCs w:val="20"/>
      </w:rPr>
      <w:t xml:space="preserve">Created by Anthony L. Fernandez, Merrimack College, fernandeza@merrimack.edu and posted on </w:t>
    </w:r>
    <w:proofErr w:type="spellStart"/>
    <w:r>
      <w:rPr>
        <w:rFonts w:ascii="Trebuchet MS" w:eastAsia="Trebuchet MS" w:hAnsi="Trebuchet MS" w:cs="Trebuchet MS"/>
        <w:sz w:val="20"/>
        <w:szCs w:val="20"/>
      </w:rPr>
      <w:t>VIPEr</w:t>
    </w:r>
    <w:proofErr w:type="spellEnd"/>
    <w:r>
      <w:rPr>
        <w:rFonts w:ascii="Trebuchet MS" w:eastAsia="Trebuchet MS" w:hAnsi="Trebuchet MS" w:cs="Trebuchet MS"/>
        <w:sz w:val="20"/>
        <w:szCs w:val="20"/>
      </w:rPr>
      <w:t xml:space="preserve"> (www.ionicviper.org) on 10 January 2020, Copyright Anthony L. Fernandez, 2020. This work is licensed under the Creative Commons Attribution-</w:t>
    </w:r>
    <w:proofErr w:type="spellStart"/>
    <w:r>
      <w:rPr>
        <w:rFonts w:ascii="Trebuchet MS" w:eastAsia="Trebuchet MS" w:hAnsi="Trebuchet MS" w:cs="Trebuchet MS"/>
        <w:sz w:val="20"/>
        <w:szCs w:val="20"/>
      </w:rPr>
      <w:t>NonCommercial</w:t>
    </w:r>
    <w:proofErr w:type="spellEnd"/>
    <w:r>
      <w:rPr>
        <w:rFonts w:ascii="Trebuchet MS" w:eastAsia="Trebuchet MS" w:hAnsi="Trebuchet MS" w:cs="Trebuchet MS"/>
        <w:sz w:val="20"/>
        <w:szCs w:val="20"/>
      </w:rPr>
      <w:t>-</w:t>
    </w:r>
    <w:proofErr w:type="spellStart"/>
    <w:r>
      <w:rPr>
        <w:rFonts w:ascii="Trebuchet MS" w:eastAsia="Trebuchet MS" w:hAnsi="Trebuchet MS" w:cs="Trebuchet MS"/>
        <w:sz w:val="20"/>
        <w:szCs w:val="20"/>
      </w:rPr>
      <w:t>ShareAlike</w:t>
    </w:r>
    <w:proofErr w:type="spellEnd"/>
    <w:r>
      <w:rPr>
        <w:rFonts w:ascii="Trebuchet MS" w:eastAsia="Trebuchet MS" w:hAnsi="Trebuchet MS" w:cs="Trebuchet MS"/>
        <w:sz w:val="20"/>
        <w:szCs w:val="20"/>
      </w:rPr>
      <w:t xml:space="preserve"> License. To view a copy of this license visit http://creativecommons.org/about/license/.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253BF"/>
    <w:multiLevelType w:val="multilevel"/>
    <w:tmpl w:val="1592E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78C"/>
    <w:rsid w:val="0005178C"/>
    <w:rsid w:val="007459F8"/>
    <w:rsid w:val="009F6833"/>
    <w:rsid w:val="00B94F09"/>
    <w:rsid w:val="00BE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292C"/>
  <w15:docId w15:val="{6AC028A8-D2B6-4943-AEF8-D86AC6D4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459F8"/>
    <w:pPr>
      <w:tabs>
        <w:tab w:val="center" w:pos="4680"/>
        <w:tab w:val="right" w:pos="9360"/>
      </w:tabs>
    </w:pPr>
  </w:style>
  <w:style w:type="character" w:customStyle="1" w:styleId="HeaderChar">
    <w:name w:val="Header Char"/>
    <w:basedOn w:val="DefaultParagraphFont"/>
    <w:link w:val="Header"/>
    <w:uiPriority w:val="99"/>
    <w:rsid w:val="007459F8"/>
  </w:style>
  <w:style w:type="paragraph" w:styleId="Footer">
    <w:name w:val="footer"/>
    <w:basedOn w:val="Normal"/>
    <w:link w:val="FooterChar"/>
    <w:uiPriority w:val="99"/>
    <w:unhideWhenUsed/>
    <w:rsid w:val="007459F8"/>
    <w:pPr>
      <w:tabs>
        <w:tab w:val="center" w:pos="4680"/>
        <w:tab w:val="right" w:pos="9360"/>
      </w:tabs>
    </w:pPr>
  </w:style>
  <w:style w:type="character" w:customStyle="1" w:styleId="FooterChar">
    <w:name w:val="Footer Char"/>
    <w:basedOn w:val="DefaultParagraphFont"/>
    <w:link w:val="Footer"/>
    <w:uiPriority w:val="99"/>
    <w:rsid w:val="00745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hemaxon.com/products/marvi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096405B0-20F0-4242-A3B8-E685712C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804</Words>
  <Characters>4583</Characters>
  <Application>Microsoft Office Word</Application>
  <DocSecurity>0</DocSecurity>
  <Lines>38</Lines>
  <Paragraphs>10</Paragraphs>
  <ScaleCrop>false</ScaleCrop>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3</cp:revision>
  <dcterms:created xsi:type="dcterms:W3CDTF">2020-01-10T14:28:00Z</dcterms:created>
  <dcterms:modified xsi:type="dcterms:W3CDTF">2020-01-22T17:29:00Z</dcterms:modified>
</cp:coreProperties>
</file>