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C87C" w14:textId="699E2064" w:rsidR="002B6144" w:rsidRPr="002B6144" w:rsidRDefault="002B6144" w:rsidP="002B6144">
      <w:pPr>
        <w:spacing w:after="0" w:line="300" w:lineRule="exact"/>
        <w:jc w:val="center"/>
        <w:rPr>
          <w:rFonts w:ascii="Cambria" w:hAnsi="Cambria"/>
          <w:b/>
          <w:bCs/>
        </w:rPr>
      </w:pPr>
      <w:r w:rsidRPr="002B6144">
        <w:rPr>
          <w:rFonts w:ascii="Cambria" w:hAnsi="Cambria"/>
          <w:b/>
          <w:bCs/>
        </w:rPr>
        <w:t>Literature Discussion Assignment #</w:t>
      </w:r>
      <w:r w:rsidR="00592565">
        <w:rPr>
          <w:rFonts w:ascii="Cambria" w:hAnsi="Cambria"/>
          <w:b/>
          <w:bCs/>
        </w:rPr>
        <w:t>2</w:t>
      </w:r>
    </w:p>
    <w:p w14:paraId="108BA8EB" w14:textId="419C3021" w:rsidR="002B6144" w:rsidRDefault="002B6144" w:rsidP="002B6144">
      <w:pPr>
        <w:spacing w:after="0" w:line="300" w:lineRule="exact"/>
        <w:jc w:val="center"/>
        <w:rPr>
          <w:rFonts w:ascii="Cambria" w:hAnsi="Cambria"/>
          <w:b/>
          <w:bCs/>
        </w:rPr>
      </w:pPr>
      <w:r w:rsidRPr="002B6144">
        <w:rPr>
          <w:rFonts w:ascii="Cambria" w:hAnsi="Cambria"/>
          <w:b/>
          <w:bCs/>
        </w:rPr>
        <w:t>CHM 369</w:t>
      </w:r>
      <w:r w:rsidR="00070332">
        <w:rPr>
          <w:rFonts w:ascii="Cambria" w:hAnsi="Cambria"/>
          <w:b/>
          <w:bCs/>
        </w:rPr>
        <w:t xml:space="preserve"> – Fall 2025</w:t>
      </w:r>
    </w:p>
    <w:p w14:paraId="378F28EC" w14:textId="77777777" w:rsidR="00070332" w:rsidRDefault="00070332" w:rsidP="002B6144">
      <w:pPr>
        <w:spacing w:after="0" w:line="300" w:lineRule="exact"/>
        <w:jc w:val="center"/>
        <w:rPr>
          <w:rFonts w:ascii="Cambria" w:hAnsi="Cambria"/>
          <w:b/>
          <w:bCs/>
        </w:rPr>
      </w:pPr>
    </w:p>
    <w:p w14:paraId="36575727" w14:textId="77777777" w:rsidR="00CF539E" w:rsidRDefault="00CF539E" w:rsidP="002B6144">
      <w:pPr>
        <w:spacing w:after="0" w:line="300" w:lineRule="exact"/>
        <w:jc w:val="center"/>
        <w:rPr>
          <w:rFonts w:ascii="Cambria" w:hAnsi="Cambria"/>
          <w:b/>
          <w:bCs/>
        </w:rPr>
      </w:pPr>
    </w:p>
    <w:p w14:paraId="39C422DB" w14:textId="77777777" w:rsidR="00CF539E" w:rsidRDefault="00CF539E" w:rsidP="002B6144">
      <w:pPr>
        <w:spacing w:after="0" w:line="300" w:lineRule="exact"/>
        <w:jc w:val="center"/>
        <w:rPr>
          <w:rFonts w:ascii="Cambria" w:hAnsi="Cambria"/>
          <w:b/>
          <w:bCs/>
        </w:rPr>
      </w:pPr>
    </w:p>
    <w:p w14:paraId="4240C35F" w14:textId="28286149" w:rsidR="00CF539E" w:rsidRDefault="00CF539E" w:rsidP="00CF539E">
      <w:pPr>
        <w:spacing w:after="0" w:line="300" w:lineRule="exac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Name:____________________________________________________</w:t>
      </w:r>
    </w:p>
    <w:p w14:paraId="45878A3F" w14:textId="77777777" w:rsidR="00CF539E" w:rsidRDefault="00CF539E" w:rsidP="002B6144">
      <w:pPr>
        <w:spacing w:after="0" w:line="300" w:lineRule="exact"/>
        <w:jc w:val="center"/>
        <w:rPr>
          <w:rFonts w:ascii="Cambria" w:hAnsi="Cambria"/>
          <w:b/>
          <w:bCs/>
        </w:rPr>
      </w:pPr>
    </w:p>
    <w:p w14:paraId="49DF31AC" w14:textId="5C9BA806" w:rsidR="00070332" w:rsidRDefault="00070332" w:rsidP="00070332">
      <w:pPr>
        <w:spacing w:after="0" w:line="300" w:lineRule="exac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Read the following article:</w:t>
      </w:r>
    </w:p>
    <w:p w14:paraId="73A2CFC9" w14:textId="77777777" w:rsidR="00070332" w:rsidRDefault="00070332" w:rsidP="00070332">
      <w:pPr>
        <w:spacing w:after="0" w:line="300" w:lineRule="exact"/>
        <w:rPr>
          <w:rFonts w:ascii="Cambria" w:hAnsi="Cambria"/>
        </w:rPr>
      </w:pPr>
    </w:p>
    <w:p w14:paraId="4E9C8AE8" w14:textId="447FE46A" w:rsidR="00070332" w:rsidRPr="00070332" w:rsidRDefault="00592565" w:rsidP="00070332">
      <w:pPr>
        <w:spacing w:after="0" w:line="300" w:lineRule="exact"/>
        <w:rPr>
          <w:rFonts w:ascii="Cambria" w:hAnsi="Cambria"/>
        </w:rPr>
      </w:pPr>
      <w:r>
        <w:rPr>
          <w:rFonts w:ascii="Cambria" w:hAnsi="Cambria"/>
        </w:rPr>
        <w:t>A.T. Stoltzfus, C.J. Campbell, M.M. Worth, K. Hom, T.L</w:t>
      </w:r>
      <w:r w:rsidR="002553BB">
        <w:rPr>
          <w:rFonts w:ascii="Cambria" w:hAnsi="Cambria"/>
        </w:rPr>
        <w:t>.</w:t>
      </w:r>
      <w:r>
        <w:rPr>
          <w:rFonts w:ascii="Cambria" w:hAnsi="Cambria"/>
        </w:rPr>
        <w:t>, Stemmler,</w:t>
      </w:r>
      <w:r w:rsidR="00070332">
        <w:rPr>
          <w:rFonts w:ascii="Cambria" w:hAnsi="Cambria"/>
        </w:rPr>
        <w:t xml:space="preserve"> and S.L.J. Michel, “</w:t>
      </w:r>
      <w:r>
        <w:rPr>
          <w:rFonts w:ascii="Cambria" w:hAnsi="Cambria"/>
        </w:rPr>
        <w:t xml:space="preserve">Pb(II) Coordination to the Nonclassical Zinc Finger </w:t>
      </w:r>
      <w:proofErr w:type="spellStart"/>
      <w:r>
        <w:rPr>
          <w:rFonts w:ascii="Cambria" w:hAnsi="Cambria"/>
        </w:rPr>
        <w:t>Tristetraprolin</w:t>
      </w:r>
      <w:proofErr w:type="spellEnd"/>
      <w:r>
        <w:rPr>
          <w:rFonts w:ascii="Cambria" w:hAnsi="Cambria"/>
        </w:rPr>
        <w:t>:  Retained Function with an Altered Fold</w:t>
      </w:r>
      <w:r w:rsidR="00070332">
        <w:rPr>
          <w:rFonts w:ascii="Cambria" w:hAnsi="Cambria"/>
        </w:rPr>
        <w:t xml:space="preserve">”  </w:t>
      </w:r>
      <w:r>
        <w:rPr>
          <w:rFonts w:ascii="Cambria" w:hAnsi="Cambria"/>
        </w:rPr>
        <w:t>J. Biol. Inorg. Chem.</w:t>
      </w:r>
      <w:r w:rsidR="00070332">
        <w:rPr>
          <w:rFonts w:ascii="Cambria" w:hAnsi="Cambria"/>
        </w:rPr>
        <w:t xml:space="preserve">  </w:t>
      </w:r>
      <w:r w:rsidR="00070332" w:rsidRPr="00070332">
        <w:rPr>
          <w:rFonts w:ascii="Cambria" w:hAnsi="Cambria"/>
          <w:b/>
          <w:bCs/>
        </w:rPr>
        <w:t>20</w:t>
      </w:r>
      <w:r>
        <w:rPr>
          <w:rFonts w:ascii="Cambria" w:hAnsi="Cambria"/>
          <w:b/>
          <w:bCs/>
        </w:rPr>
        <w:t>23</w:t>
      </w:r>
      <w:r w:rsidR="00070332">
        <w:rPr>
          <w:rFonts w:ascii="Cambria" w:hAnsi="Cambria"/>
        </w:rPr>
        <w:t xml:space="preserve">, </w:t>
      </w:r>
      <w:r>
        <w:rPr>
          <w:rFonts w:ascii="Cambria" w:hAnsi="Cambria"/>
          <w:i/>
          <w:iCs/>
        </w:rPr>
        <w:t>28</w:t>
      </w:r>
      <w:r w:rsidR="00070332">
        <w:rPr>
          <w:rFonts w:ascii="Cambria" w:hAnsi="Cambria"/>
        </w:rPr>
        <w:t xml:space="preserve">, </w:t>
      </w:r>
      <w:r>
        <w:rPr>
          <w:rFonts w:ascii="Cambria" w:hAnsi="Cambria"/>
        </w:rPr>
        <w:t>85-100</w:t>
      </w:r>
      <w:r w:rsidR="00070332">
        <w:rPr>
          <w:rFonts w:ascii="Cambria" w:hAnsi="Cambria"/>
        </w:rPr>
        <w:t>.</w:t>
      </w:r>
    </w:p>
    <w:p w14:paraId="5736876E" w14:textId="77777777" w:rsidR="004D6B42" w:rsidRDefault="004D6B42" w:rsidP="002B6144">
      <w:pPr>
        <w:spacing w:after="0" w:line="300" w:lineRule="exact"/>
        <w:rPr>
          <w:rFonts w:ascii="Cambria" w:hAnsi="Cambria"/>
        </w:rPr>
      </w:pPr>
    </w:p>
    <w:p w14:paraId="1CD6677B" w14:textId="26A87D71" w:rsidR="00070332" w:rsidRPr="00070332" w:rsidRDefault="00CF539E" w:rsidP="002B6144">
      <w:pPr>
        <w:spacing w:after="0" w:line="300" w:lineRule="exac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</w:t>
      </w:r>
      <w:r w:rsidR="00070332">
        <w:rPr>
          <w:rFonts w:ascii="Cambria" w:hAnsi="Cambria"/>
          <w:b/>
          <w:bCs/>
        </w:rPr>
        <w:t xml:space="preserve">nswers the following questions about the material presented in the article:  </w:t>
      </w:r>
    </w:p>
    <w:p w14:paraId="3D8FC2DF" w14:textId="77777777" w:rsidR="00CF4662" w:rsidRDefault="00CF4662" w:rsidP="002B6144">
      <w:pPr>
        <w:spacing w:after="0" w:line="300" w:lineRule="exact"/>
      </w:pPr>
    </w:p>
    <w:p w14:paraId="0F500152" w14:textId="72C467E0" w:rsidR="00CF4662" w:rsidRPr="00B5312E" w:rsidRDefault="00CF4662" w:rsidP="00216F75">
      <w:pPr>
        <w:pStyle w:val="ListParagraph"/>
        <w:numPr>
          <w:ilvl w:val="0"/>
          <w:numId w:val="2"/>
        </w:numPr>
        <w:spacing w:after="0" w:line="300" w:lineRule="exact"/>
        <w:rPr>
          <w:rFonts w:ascii="Cambria" w:hAnsi="Cambria"/>
          <w:color w:val="000000" w:themeColor="text1"/>
        </w:rPr>
      </w:pPr>
      <w:r w:rsidRPr="00B5312E">
        <w:rPr>
          <w:rFonts w:ascii="Cambria" w:hAnsi="Cambria"/>
          <w:color w:val="000000" w:themeColor="text1"/>
        </w:rPr>
        <w:t xml:space="preserve">The authors mention that Pb(II) is an intermediate/soft acid.  Given HSAB theory, what kind of ligands do the authors say are possible for Pb(II) to bind to?  What kind of ligands does Pb(II) have a preference for and binds tightly to?  Name at least 2 other kinds of proteins besides zinc fingers where the interaction of Pb has been </w:t>
      </w:r>
      <w:r w:rsidR="00900F40" w:rsidRPr="00B5312E">
        <w:rPr>
          <w:rFonts w:ascii="Cambria" w:hAnsi="Cambria"/>
          <w:color w:val="000000" w:themeColor="text1"/>
        </w:rPr>
        <w:t>documented</w:t>
      </w:r>
      <w:r w:rsidRPr="00B5312E">
        <w:rPr>
          <w:rFonts w:ascii="Cambria" w:hAnsi="Cambria"/>
          <w:color w:val="000000" w:themeColor="text1"/>
        </w:rPr>
        <w:t xml:space="preserve">. </w:t>
      </w:r>
    </w:p>
    <w:p w14:paraId="1B1ED298" w14:textId="77777777" w:rsidR="00CF5E2D" w:rsidRPr="00B5312E" w:rsidRDefault="00CF5E2D" w:rsidP="002B6144">
      <w:pPr>
        <w:spacing w:after="0" w:line="300" w:lineRule="exact"/>
        <w:rPr>
          <w:rFonts w:ascii="Cambria" w:hAnsi="Cambria"/>
        </w:rPr>
      </w:pPr>
    </w:p>
    <w:p w14:paraId="7B583A54" w14:textId="7AF9ECE0" w:rsidR="005D6A46" w:rsidRPr="00B5312E" w:rsidRDefault="005D6A46" w:rsidP="00216F75">
      <w:pPr>
        <w:pStyle w:val="ListParagraph"/>
        <w:numPr>
          <w:ilvl w:val="0"/>
          <w:numId w:val="2"/>
        </w:numPr>
        <w:spacing w:after="0" w:line="300" w:lineRule="exact"/>
        <w:rPr>
          <w:rFonts w:ascii="Cambria" w:hAnsi="Cambria"/>
        </w:rPr>
      </w:pPr>
      <w:r w:rsidRPr="00B5312E">
        <w:rPr>
          <w:rFonts w:ascii="Cambria" w:hAnsi="Cambria"/>
        </w:rPr>
        <w:t xml:space="preserve">What is the stoichiometry of binding for Pb(II) with TTP-2D as determined by </w:t>
      </w:r>
      <w:proofErr w:type="spellStart"/>
      <w:r w:rsidRPr="00B5312E">
        <w:rPr>
          <w:rFonts w:ascii="Cambria" w:hAnsi="Cambria"/>
        </w:rPr>
        <w:t>uv</w:t>
      </w:r>
      <w:proofErr w:type="spellEnd"/>
      <w:r w:rsidRPr="00B5312E">
        <w:rPr>
          <w:rFonts w:ascii="Cambria" w:hAnsi="Cambria"/>
        </w:rPr>
        <w:t>/vis</w:t>
      </w:r>
      <w:r w:rsidR="00BA608E" w:rsidRPr="00B5312E">
        <w:rPr>
          <w:rFonts w:ascii="Cambria" w:hAnsi="Cambria"/>
        </w:rPr>
        <w:t xml:space="preserve"> spectroscopy</w:t>
      </w:r>
      <w:r w:rsidRPr="00B5312E">
        <w:rPr>
          <w:rFonts w:ascii="Cambria" w:hAnsi="Cambria"/>
        </w:rPr>
        <w:t xml:space="preserve">?  What method </w:t>
      </w:r>
      <w:r w:rsidR="00BA608E" w:rsidRPr="00B5312E">
        <w:rPr>
          <w:rFonts w:ascii="Cambria" w:hAnsi="Cambria"/>
        </w:rPr>
        <w:t>do the authors</w:t>
      </w:r>
      <w:r w:rsidRPr="00B5312E">
        <w:rPr>
          <w:rFonts w:ascii="Cambria" w:hAnsi="Cambria"/>
        </w:rPr>
        <w:t xml:space="preserve"> use to gain further support for the</w:t>
      </w:r>
      <w:r w:rsidR="00BA608E" w:rsidRPr="00B5312E">
        <w:rPr>
          <w:rFonts w:ascii="Cambria" w:hAnsi="Cambria"/>
        </w:rPr>
        <w:t>ir</w:t>
      </w:r>
      <w:r w:rsidRPr="00B5312E">
        <w:rPr>
          <w:rFonts w:ascii="Cambria" w:hAnsi="Cambria"/>
        </w:rPr>
        <w:t xml:space="preserve"> binding stoichiometry?  </w:t>
      </w:r>
    </w:p>
    <w:p w14:paraId="679E2721" w14:textId="77777777" w:rsidR="007C4D0D" w:rsidRPr="00B5312E" w:rsidRDefault="007C4D0D" w:rsidP="002B6144">
      <w:pPr>
        <w:spacing w:after="0" w:line="300" w:lineRule="exact"/>
        <w:rPr>
          <w:rFonts w:ascii="Cambria" w:hAnsi="Cambria"/>
        </w:rPr>
      </w:pPr>
    </w:p>
    <w:p w14:paraId="5143350F" w14:textId="03BB3428" w:rsidR="007C4D0D" w:rsidRPr="00B5312E" w:rsidRDefault="00494928" w:rsidP="00216F75">
      <w:pPr>
        <w:pStyle w:val="ListParagraph"/>
        <w:numPr>
          <w:ilvl w:val="0"/>
          <w:numId w:val="2"/>
        </w:numPr>
        <w:spacing w:after="0" w:line="300" w:lineRule="exact"/>
        <w:rPr>
          <w:rFonts w:ascii="Cambria" w:hAnsi="Cambria"/>
        </w:rPr>
      </w:pPr>
      <w:r w:rsidRPr="00B5312E">
        <w:rPr>
          <w:rFonts w:ascii="Cambria" w:hAnsi="Cambria"/>
        </w:rPr>
        <w:t xml:space="preserve">How do the authors determine the </w:t>
      </w:r>
      <w:proofErr w:type="spellStart"/>
      <w:r w:rsidRPr="00B5312E">
        <w:rPr>
          <w:rFonts w:ascii="Cambria" w:hAnsi="Cambria"/>
        </w:rPr>
        <w:t>K</w:t>
      </w:r>
      <w:r w:rsidRPr="00B5312E">
        <w:rPr>
          <w:rFonts w:ascii="Cambria" w:hAnsi="Cambria"/>
          <w:vertAlign w:val="subscript"/>
        </w:rPr>
        <w:t>d</w:t>
      </w:r>
      <w:proofErr w:type="spellEnd"/>
      <w:r w:rsidRPr="00B5312E">
        <w:rPr>
          <w:rFonts w:ascii="Cambria" w:hAnsi="Cambria"/>
        </w:rPr>
        <w:t xml:space="preserve"> value for Pb(II) bound to TTP-2D?  How does that </w:t>
      </w:r>
      <w:proofErr w:type="spellStart"/>
      <w:r w:rsidRPr="00B5312E">
        <w:rPr>
          <w:rFonts w:ascii="Cambria" w:hAnsi="Cambria"/>
        </w:rPr>
        <w:t>K</w:t>
      </w:r>
      <w:r w:rsidRPr="00B5312E">
        <w:rPr>
          <w:rFonts w:ascii="Cambria" w:hAnsi="Cambria"/>
          <w:vertAlign w:val="subscript"/>
        </w:rPr>
        <w:t>d</w:t>
      </w:r>
      <w:proofErr w:type="spellEnd"/>
      <w:r w:rsidRPr="00B5312E">
        <w:rPr>
          <w:rFonts w:ascii="Cambria" w:hAnsi="Cambria"/>
        </w:rPr>
        <w:t xml:space="preserve"> value compare to when Zn is bound?  Table 1</w:t>
      </w:r>
      <w:r w:rsidR="00F82827" w:rsidRPr="00B5312E">
        <w:rPr>
          <w:rFonts w:ascii="Cambria" w:hAnsi="Cambria"/>
        </w:rPr>
        <w:t xml:space="preserve"> compares the </w:t>
      </w:r>
      <w:proofErr w:type="spellStart"/>
      <w:r w:rsidR="00F82827" w:rsidRPr="00B5312E">
        <w:rPr>
          <w:rFonts w:ascii="Cambria" w:hAnsi="Cambria"/>
        </w:rPr>
        <w:t>K</w:t>
      </w:r>
      <w:r w:rsidR="00F82827" w:rsidRPr="00B5312E">
        <w:rPr>
          <w:rFonts w:ascii="Cambria" w:hAnsi="Cambria"/>
          <w:vertAlign w:val="subscript"/>
        </w:rPr>
        <w:t>d</w:t>
      </w:r>
      <w:proofErr w:type="spellEnd"/>
      <w:r w:rsidR="00F82827" w:rsidRPr="00B5312E">
        <w:rPr>
          <w:rFonts w:ascii="Cambria" w:hAnsi="Cambria"/>
        </w:rPr>
        <w:t xml:space="preserve"> values for Pb(II) binding to TTP-2D to other</w:t>
      </w:r>
      <w:r w:rsidRPr="00B5312E">
        <w:rPr>
          <w:rFonts w:ascii="Cambria" w:hAnsi="Cambria"/>
        </w:rPr>
        <w:t xml:space="preserve"> z</w:t>
      </w:r>
      <w:r w:rsidR="00F82827" w:rsidRPr="00B5312E">
        <w:rPr>
          <w:rFonts w:ascii="Cambria" w:hAnsi="Cambria"/>
        </w:rPr>
        <w:t>i</w:t>
      </w:r>
      <w:r w:rsidRPr="00B5312E">
        <w:rPr>
          <w:rFonts w:ascii="Cambria" w:hAnsi="Cambria"/>
        </w:rPr>
        <w:t>n</w:t>
      </w:r>
      <w:r w:rsidR="00F82827" w:rsidRPr="00B5312E">
        <w:rPr>
          <w:rFonts w:ascii="Cambria" w:hAnsi="Cambria"/>
        </w:rPr>
        <w:t>c</w:t>
      </w:r>
      <w:r w:rsidRPr="00B5312E">
        <w:rPr>
          <w:rFonts w:ascii="Cambria" w:hAnsi="Cambria"/>
        </w:rPr>
        <w:t xml:space="preserve"> finger peptides</w:t>
      </w:r>
      <w:r w:rsidR="00F82827" w:rsidRPr="00B5312E">
        <w:rPr>
          <w:rFonts w:ascii="Cambria" w:hAnsi="Cambria"/>
        </w:rPr>
        <w:t>.  List one of these peptides that binds Pb(II) tighter than TTP-2D and one that binds Pb(II) weaker than TTP-2D.  What is unique about the binding of Zn(II) and Pb(II) for CP-CCCC compared to the other peptides listed in Table 1?</w:t>
      </w:r>
      <w:r w:rsidRPr="00B5312E">
        <w:rPr>
          <w:rFonts w:ascii="Cambria" w:hAnsi="Cambria"/>
        </w:rPr>
        <w:t xml:space="preserve"> </w:t>
      </w:r>
      <w:r w:rsidR="00F82827" w:rsidRPr="00B5312E">
        <w:rPr>
          <w:rFonts w:ascii="Cambria" w:hAnsi="Cambria"/>
        </w:rPr>
        <w:t xml:space="preserve"> </w:t>
      </w:r>
    </w:p>
    <w:p w14:paraId="3E47D521" w14:textId="77777777" w:rsidR="00494928" w:rsidRPr="00B5312E" w:rsidRDefault="00494928" w:rsidP="002B6144">
      <w:pPr>
        <w:spacing w:after="0" w:line="300" w:lineRule="exact"/>
        <w:rPr>
          <w:rFonts w:ascii="Cambria" w:hAnsi="Cambria"/>
        </w:rPr>
      </w:pPr>
    </w:p>
    <w:p w14:paraId="6E21D60C" w14:textId="7AA5DE4D" w:rsidR="00494928" w:rsidRPr="00B5312E" w:rsidRDefault="00033633" w:rsidP="00216F75">
      <w:pPr>
        <w:pStyle w:val="ListParagraph"/>
        <w:numPr>
          <w:ilvl w:val="0"/>
          <w:numId w:val="2"/>
        </w:numPr>
        <w:spacing w:after="0" w:line="300" w:lineRule="exact"/>
        <w:rPr>
          <w:rFonts w:ascii="Cambria" w:hAnsi="Cambria"/>
        </w:rPr>
      </w:pPr>
      <w:r w:rsidRPr="00B5312E">
        <w:rPr>
          <w:rFonts w:ascii="Cambria" w:hAnsi="Cambria"/>
        </w:rPr>
        <w:t>What technique do the authors use to investigate the impact of Pb(II) binding on the secondary structure of TTP-2D?  Briefly summarize their findings from these exper</w:t>
      </w:r>
      <w:r w:rsidR="00F76F0C" w:rsidRPr="00B5312E">
        <w:rPr>
          <w:rFonts w:ascii="Cambria" w:hAnsi="Cambria"/>
        </w:rPr>
        <w:t>i</w:t>
      </w:r>
      <w:r w:rsidRPr="00B5312E">
        <w:rPr>
          <w:rFonts w:ascii="Cambria" w:hAnsi="Cambria"/>
        </w:rPr>
        <w:t>ments.</w:t>
      </w:r>
      <w:r w:rsidR="00F76F0C" w:rsidRPr="00B5312E">
        <w:rPr>
          <w:rFonts w:ascii="Cambria" w:hAnsi="Cambria"/>
        </w:rPr>
        <w:t xml:space="preserve"> </w:t>
      </w:r>
      <w:r w:rsidR="00CE102A" w:rsidRPr="00B5312E">
        <w:rPr>
          <w:rFonts w:ascii="Cambria" w:hAnsi="Cambria"/>
        </w:rPr>
        <w:t xml:space="preserve"> How do the 2D COSY NMR experiments complement these results?</w:t>
      </w:r>
      <w:r w:rsidR="007F7497" w:rsidRPr="00B5312E">
        <w:rPr>
          <w:rFonts w:ascii="Cambria" w:hAnsi="Cambria"/>
        </w:rPr>
        <w:t xml:space="preserve">  What is concluded about the proposed binding geometry of the Pb(II) ions in TTP-2D from the EXAFS experiments?</w:t>
      </w:r>
    </w:p>
    <w:p w14:paraId="0771F651" w14:textId="77777777" w:rsidR="00ED558A" w:rsidRPr="00B5312E" w:rsidRDefault="00ED558A" w:rsidP="00ED558A">
      <w:pPr>
        <w:spacing w:after="0" w:line="300" w:lineRule="exact"/>
        <w:rPr>
          <w:rFonts w:ascii="Cambria" w:hAnsi="Cambria"/>
        </w:rPr>
      </w:pPr>
    </w:p>
    <w:p w14:paraId="1C8E286B" w14:textId="04F8FB69" w:rsidR="00216F75" w:rsidRPr="00B5312E" w:rsidRDefault="00CE102A" w:rsidP="00216F75">
      <w:pPr>
        <w:pStyle w:val="ListParagraph"/>
        <w:numPr>
          <w:ilvl w:val="0"/>
          <w:numId w:val="2"/>
        </w:numPr>
        <w:spacing w:after="0" w:line="300" w:lineRule="exact"/>
        <w:rPr>
          <w:rFonts w:ascii="Cambria" w:hAnsi="Cambria"/>
        </w:rPr>
      </w:pPr>
      <w:r w:rsidRPr="00B5312E">
        <w:rPr>
          <w:rFonts w:ascii="Cambria" w:hAnsi="Cambria"/>
        </w:rPr>
        <w:t>Briefly describe the ability of Pb</w:t>
      </w:r>
      <w:r w:rsidRPr="00B5312E">
        <w:rPr>
          <w:rFonts w:ascii="Cambria" w:hAnsi="Cambria"/>
          <w:vertAlign w:val="subscript"/>
        </w:rPr>
        <w:t>2</w:t>
      </w:r>
      <w:r w:rsidRPr="00B5312E">
        <w:rPr>
          <w:rFonts w:ascii="Cambria" w:hAnsi="Cambria"/>
        </w:rPr>
        <w:t>-TTP-2D to bind to the RNA sequences in Table 3.  How does the Pb</w:t>
      </w:r>
      <w:r w:rsidRPr="00B5312E">
        <w:rPr>
          <w:rFonts w:ascii="Cambria" w:hAnsi="Cambria"/>
          <w:vertAlign w:val="subscript"/>
        </w:rPr>
        <w:t>2</w:t>
      </w:r>
      <w:r w:rsidRPr="00B5312E">
        <w:rPr>
          <w:rFonts w:ascii="Cambria" w:hAnsi="Cambria"/>
        </w:rPr>
        <w:t xml:space="preserve">-TTP-2D </w:t>
      </w:r>
      <w:r w:rsidR="005F7C34">
        <w:rPr>
          <w:rFonts w:ascii="Cambria" w:hAnsi="Cambria"/>
        </w:rPr>
        <w:t xml:space="preserve"> binding RNA </w:t>
      </w:r>
      <w:r w:rsidRPr="00B5312E">
        <w:rPr>
          <w:rFonts w:ascii="Cambria" w:hAnsi="Cambria"/>
        </w:rPr>
        <w:t>compare to what was found for Zn</w:t>
      </w:r>
      <w:r w:rsidRPr="00B5312E">
        <w:rPr>
          <w:rFonts w:ascii="Cambria" w:hAnsi="Cambria"/>
          <w:vertAlign w:val="subscript"/>
        </w:rPr>
        <w:t>2</w:t>
      </w:r>
      <w:r w:rsidRPr="00B5312E">
        <w:rPr>
          <w:rFonts w:ascii="Cambria" w:hAnsi="Cambria"/>
        </w:rPr>
        <w:t xml:space="preserve">-TTP-2D? </w:t>
      </w:r>
    </w:p>
    <w:p w14:paraId="5D19C60A" w14:textId="77777777" w:rsidR="00216F75" w:rsidRPr="00B5312E" w:rsidRDefault="00216F75" w:rsidP="00216F75">
      <w:pPr>
        <w:spacing w:after="0" w:line="300" w:lineRule="exact"/>
        <w:rPr>
          <w:rFonts w:ascii="Cambria" w:hAnsi="Cambria"/>
        </w:rPr>
      </w:pPr>
    </w:p>
    <w:p w14:paraId="256403FD" w14:textId="01929229" w:rsidR="00216F75" w:rsidRPr="00B5312E" w:rsidRDefault="00777345" w:rsidP="00216F75">
      <w:pPr>
        <w:pStyle w:val="ListParagraph"/>
        <w:numPr>
          <w:ilvl w:val="0"/>
          <w:numId w:val="2"/>
        </w:numPr>
        <w:spacing w:after="0" w:line="300" w:lineRule="exact"/>
        <w:rPr>
          <w:rFonts w:ascii="Cambria" w:hAnsi="Cambria"/>
        </w:rPr>
      </w:pPr>
      <w:r w:rsidRPr="00B5312E">
        <w:rPr>
          <w:rFonts w:ascii="Cambria" w:hAnsi="Cambria"/>
        </w:rPr>
        <w:lastRenderedPageBreak/>
        <w:t xml:space="preserve">What </w:t>
      </w:r>
      <w:r w:rsidR="007F7497" w:rsidRPr="00B5312E">
        <w:rPr>
          <w:rFonts w:ascii="Cambria" w:hAnsi="Cambria"/>
        </w:rPr>
        <w:t>are the authors able to conclude about how</w:t>
      </w:r>
      <w:r w:rsidRPr="00B5312E">
        <w:rPr>
          <w:rFonts w:ascii="Cambria" w:hAnsi="Cambria"/>
        </w:rPr>
        <w:t xml:space="preserve"> Pb(II) ions </w:t>
      </w:r>
      <w:r w:rsidR="007F7497" w:rsidRPr="00B5312E">
        <w:rPr>
          <w:rFonts w:ascii="Cambria" w:hAnsi="Cambria"/>
        </w:rPr>
        <w:t xml:space="preserve">may impact the function and activity of TTP?  </w:t>
      </w:r>
    </w:p>
    <w:p w14:paraId="76ED809D" w14:textId="0980520F" w:rsidR="00CF5E2D" w:rsidRDefault="00CF5E2D" w:rsidP="002B6144">
      <w:pPr>
        <w:spacing w:after="0" w:line="300" w:lineRule="exact"/>
      </w:pPr>
    </w:p>
    <w:sectPr w:rsidR="00CF5E2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29B6" w14:textId="77777777" w:rsidR="002E0BFB" w:rsidRDefault="002E0BFB" w:rsidP="00B84227">
      <w:pPr>
        <w:spacing w:after="0" w:line="240" w:lineRule="auto"/>
      </w:pPr>
      <w:r>
        <w:separator/>
      </w:r>
    </w:p>
  </w:endnote>
  <w:endnote w:type="continuationSeparator" w:id="0">
    <w:p w14:paraId="36481DC9" w14:textId="77777777" w:rsidR="002E0BFB" w:rsidRDefault="002E0BFB" w:rsidP="00B8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5B5A" w14:textId="77777777" w:rsidR="002E0BFB" w:rsidRDefault="002E0BFB" w:rsidP="00B84227">
      <w:pPr>
        <w:spacing w:after="0" w:line="240" w:lineRule="auto"/>
      </w:pPr>
      <w:r>
        <w:separator/>
      </w:r>
    </w:p>
  </w:footnote>
  <w:footnote w:type="continuationSeparator" w:id="0">
    <w:p w14:paraId="38CB9980" w14:textId="77777777" w:rsidR="002E0BFB" w:rsidRDefault="002E0BFB" w:rsidP="00B8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03C8" w14:textId="77777777" w:rsidR="00B84227" w:rsidRPr="00733833" w:rsidRDefault="00B84227" w:rsidP="00B84227">
    <w:pPr>
      <w:pStyle w:val="Header"/>
      <w:rPr>
        <w:rFonts w:ascii="Cambria" w:hAnsi="Cambria"/>
        <w:sz w:val="22"/>
      </w:rPr>
    </w:pPr>
    <w:r w:rsidRPr="00733833">
      <w:rPr>
        <w:rFonts w:ascii="Cambria" w:hAnsi="Cambria"/>
        <w:sz w:val="20"/>
        <w:szCs w:val="26"/>
      </w:rPr>
      <w:t>Created by Elizabeth R. Jamieson, Smith College (</w:t>
    </w:r>
    <w:r w:rsidRPr="00733833">
      <w:rPr>
        <w:rFonts w:ascii="Cambria" w:hAnsi="Cambria"/>
        <w:color w:val="002BF0"/>
        <w:sz w:val="20"/>
        <w:szCs w:val="26"/>
        <w:u w:val="single" w:color="002BF0"/>
      </w:rPr>
      <w:t>ejamieso@smith.edu</w:t>
    </w:r>
    <w:r w:rsidRPr="00733833">
      <w:rPr>
        <w:rFonts w:ascii="Cambria" w:hAnsi="Cambria"/>
        <w:sz w:val="20"/>
        <w:szCs w:val="26"/>
      </w:rPr>
      <w:t xml:space="preserve">) and posted on </w:t>
    </w:r>
    <w:proofErr w:type="spellStart"/>
    <w:r w:rsidRPr="00733833">
      <w:rPr>
        <w:rFonts w:ascii="Cambria" w:hAnsi="Cambria"/>
        <w:sz w:val="20"/>
        <w:szCs w:val="26"/>
      </w:rPr>
      <w:t>VIPEr</w:t>
    </w:r>
    <w:proofErr w:type="spellEnd"/>
    <w:r w:rsidRPr="00733833">
      <w:rPr>
        <w:rFonts w:ascii="Cambria" w:hAnsi="Cambria"/>
        <w:sz w:val="20"/>
        <w:szCs w:val="26"/>
      </w:rPr>
      <w:t xml:space="preserve"> on </w:t>
    </w:r>
    <w:r>
      <w:rPr>
        <w:rFonts w:ascii="Cambria" w:hAnsi="Cambria"/>
        <w:sz w:val="20"/>
        <w:szCs w:val="26"/>
      </w:rPr>
      <w:t xml:space="preserve">June 22, 2026. </w:t>
    </w:r>
    <w:r w:rsidRPr="00733833">
      <w:rPr>
        <w:rFonts w:ascii="Cambria" w:hAnsi="Cambria"/>
        <w:sz w:val="20"/>
        <w:szCs w:val="26"/>
      </w:rPr>
      <w:t xml:space="preserve"> Copyright Elizabeth R. Jamieson 20</w:t>
    </w:r>
    <w:r>
      <w:rPr>
        <w:rFonts w:ascii="Cambria" w:hAnsi="Cambria"/>
        <w:sz w:val="20"/>
        <w:szCs w:val="26"/>
      </w:rPr>
      <w:t>26</w:t>
    </w:r>
    <w:r w:rsidRPr="00733833">
      <w:rPr>
        <w:rFonts w:ascii="Cambria" w:hAnsi="Cambria"/>
        <w:sz w:val="20"/>
        <w:szCs w:val="26"/>
      </w:rPr>
      <w:t>.</w:t>
    </w:r>
    <w:r>
      <w:rPr>
        <w:rFonts w:ascii="Cambria" w:hAnsi="Cambria"/>
        <w:sz w:val="20"/>
        <w:szCs w:val="26"/>
      </w:rPr>
      <w:t xml:space="preserve"> </w:t>
    </w:r>
    <w:r w:rsidRPr="00733833">
      <w:rPr>
        <w:rFonts w:ascii="Cambria" w:hAnsi="Cambria"/>
        <w:sz w:val="20"/>
        <w:szCs w:val="26"/>
      </w:rPr>
      <w:t xml:space="preserve"> This work is licensed under the Creative Commons Attribution Non-commercial Share Alike License</w:t>
    </w:r>
    <w:r>
      <w:rPr>
        <w:rFonts w:ascii="Cambria" w:hAnsi="Cambria"/>
        <w:sz w:val="20"/>
        <w:szCs w:val="26"/>
      </w:rPr>
      <w:t xml:space="preserve"> (CC BY-NC-SA)</w:t>
    </w:r>
    <w:r w:rsidRPr="00733833">
      <w:rPr>
        <w:rFonts w:ascii="Cambria" w:hAnsi="Cambria"/>
        <w:sz w:val="20"/>
        <w:szCs w:val="26"/>
      </w:rPr>
      <w:t xml:space="preserve">. To view a copy of this </w:t>
    </w:r>
    <w:proofErr w:type="gramStart"/>
    <w:r w:rsidRPr="00733833">
      <w:rPr>
        <w:rFonts w:ascii="Cambria" w:hAnsi="Cambria"/>
        <w:sz w:val="20"/>
        <w:szCs w:val="26"/>
      </w:rPr>
      <w:t>license</w:t>
    </w:r>
    <w:proofErr w:type="gramEnd"/>
    <w:r w:rsidRPr="00733833">
      <w:rPr>
        <w:rFonts w:ascii="Cambria" w:hAnsi="Cambria"/>
        <w:sz w:val="20"/>
        <w:szCs w:val="26"/>
      </w:rPr>
      <w:t xml:space="preserve"> visit </w:t>
    </w:r>
    <w:hyperlink r:id="rId1" w:history="1">
      <w:r w:rsidRPr="00733833">
        <w:rPr>
          <w:rFonts w:ascii="Cambria" w:hAnsi="Cambria"/>
          <w:color w:val="002BF0"/>
          <w:sz w:val="20"/>
          <w:szCs w:val="26"/>
        </w:rPr>
        <w:t>http://creativecommons.org/about/license/</w:t>
      </w:r>
    </w:hyperlink>
    <w:r w:rsidRPr="00733833">
      <w:rPr>
        <w:rFonts w:ascii="Cambria" w:hAnsi="Cambria"/>
        <w:sz w:val="22"/>
        <w:szCs w:val="26"/>
      </w:rPr>
      <w:t>.</w:t>
    </w:r>
  </w:p>
  <w:p w14:paraId="2C147A92" w14:textId="77777777" w:rsidR="00B84227" w:rsidRDefault="00B84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94634"/>
    <w:multiLevelType w:val="hybridMultilevel"/>
    <w:tmpl w:val="182CD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C0A8C"/>
    <w:multiLevelType w:val="hybridMultilevel"/>
    <w:tmpl w:val="C3E00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933191">
    <w:abstractNumId w:val="1"/>
  </w:num>
  <w:num w:numId="2" w16cid:durableId="59247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AC"/>
    <w:rsid w:val="00033633"/>
    <w:rsid w:val="0005156A"/>
    <w:rsid w:val="00070332"/>
    <w:rsid w:val="000844DB"/>
    <w:rsid w:val="001216F5"/>
    <w:rsid w:val="00123753"/>
    <w:rsid w:val="00216F75"/>
    <w:rsid w:val="002553BB"/>
    <w:rsid w:val="002829C2"/>
    <w:rsid w:val="002B6144"/>
    <w:rsid w:val="002E0BFB"/>
    <w:rsid w:val="002F3DCA"/>
    <w:rsid w:val="00347BE0"/>
    <w:rsid w:val="00355742"/>
    <w:rsid w:val="00366991"/>
    <w:rsid w:val="00392968"/>
    <w:rsid w:val="003C26FF"/>
    <w:rsid w:val="00423CDA"/>
    <w:rsid w:val="00432368"/>
    <w:rsid w:val="00494928"/>
    <w:rsid w:val="004A1ECE"/>
    <w:rsid w:val="004B283F"/>
    <w:rsid w:val="004D1E2E"/>
    <w:rsid w:val="004D5B4B"/>
    <w:rsid w:val="004D6B42"/>
    <w:rsid w:val="005136A1"/>
    <w:rsid w:val="00567D01"/>
    <w:rsid w:val="00592318"/>
    <w:rsid w:val="00592565"/>
    <w:rsid w:val="00593C8E"/>
    <w:rsid w:val="005D6A46"/>
    <w:rsid w:val="005F7C34"/>
    <w:rsid w:val="006561FA"/>
    <w:rsid w:val="00671AF3"/>
    <w:rsid w:val="006A7FF4"/>
    <w:rsid w:val="006B5D00"/>
    <w:rsid w:val="007606E2"/>
    <w:rsid w:val="00766FC2"/>
    <w:rsid w:val="00777345"/>
    <w:rsid w:val="007A1EE0"/>
    <w:rsid w:val="007C4D0D"/>
    <w:rsid w:val="007D468C"/>
    <w:rsid w:val="007F7497"/>
    <w:rsid w:val="00863B5B"/>
    <w:rsid w:val="0089035F"/>
    <w:rsid w:val="00900F40"/>
    <w:rsid w:val="00902C00"/>
    <w:rsid w:val="00995CD6"/>
    <w:rsid w:val="009D7369"/>
    <w:rsid w:val="00A078DA"/>
    <w:rsid w:val="00A10C7B"/>
    <w:rsid w:val="00A33791"/>
    <w:rsid w:val="00A81899"/>
    <w:rsid w:val="00A84D13"/>
    <w:rsid w:val="00AA6CDC"/>
    <w:rsid w:val="00AB5FB2"/>
    <w:rsid w:val="00AF523F"/>
    <w:rsid w:val="00B379DD"/>
    <w:rsid w:val="00B37E2D"/>
    <w:rsid w:val="00B5312E"/>
    <w:rsid w:val="00B84227"/>
    <w:rsid w:val="00BA608E"/>
    <w:rsid w:val="00BE7F38"/>
    <w:rsid w:val="00C851B4"/>
    <w:rsid w:val="00C96FA6"/>
    <w:rsid w:val="00CE102A"/>
    <w:rsid w:val="00CF4662"/>
    <w:rsid w:val="00CF539E"/>
    <w:rsid w:val="00CF5E2D"/>
    <w:rsid w:val="00D325A7"/>
    <w:rsid w:val="00D65B45"/>
    <w:rsid w:val="00DB1D33"/>
    <w:rsid w:val="00DB47AC"/>
    <w:rsid w:val="00DC175D"/>
    <w:rsid w:val="00DE5312"/>
    <w:rsid w:val="00E47E47"/>
    <w:rsid w:val="00EB13C9"/>
    <w:rsid w:val="00ED558A"/>
    <w:rsid w:val="00F16150"/>
    <w:rsid w:val="00F42E25"/>
    <w:rsid w:val="00F76F0C"/>
    <w:rsid w:val="00F82827"/>
    <w:rsid w:val="00FA74FC"/>
    <w:rsid w:val="00F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1699A"/>
  <w15:chartTrackingRefBased/>
  <w15:docId w15:val="{AAA3A269-AD37-E048-B9A0-5EFAC648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7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7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7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7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7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B8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4227"/>
  </w:style>
  <w:style w:type="paragraph" w:styleId="Footer">
    <w:name w:val="footer"/>
    <w:basedOn w:val="Normal"/>
    <w:link w:val="FooterChar"/>
    <w:uiPriority w:val="99"/>
    <w:unhideWhenUsed/>
    <w:rsid w:val="00B8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about/licen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Redding Jamieson</dc:creator>
  <cp:keywords/>
  <dc:description/>
  <cp:lastModifiedBy>Elizabeth Redding Jamieson</cp:lastModifiedBy>
  <cp:revision>2</cp:revision>
  <dcterms:created xsi:type="dcterms:W3CDTF">2026-06-22T15:35:00Z</dcterms:created>
  <dcterms:modified xsi:type="dcterms:W3CDTF">2026-06-22T15:35:00Z</dcterms:modified>
</cp:coreProperties>
</file>