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FC01" w14:textId="105B67D7" w:rsidR="00322F43" w:rsidRPr="000E5A3D" w:rsidRDefault="00AB5D22" w:rsidP="00322F43">
      <w:pPr>
        <w:jc w:val="center"/>
        <w:rPr>
          <w:b/>
          <w:bCs/>
        </w:rPr>
      </w:pPr>
      <w:r>
        <w:rPr>
          <w:b/>
          <w:bCs/>
        </w:rPr>
        <w:t>Crystal Field Activation Energy for Ligand Substitution Reactions</w:t>
      </w:r>
    </w:p>
    <w:p w14:paraId="3D3DA763" w14:textId="77777777" w:rsidR="005D1A1C" w:rsidRDefault="005D1A1C">
      <w:pPr>
        <w:rPr>
          <w:color w:val="FF0000"/>
        </w:rPr>
      </w:pPr>
    </w:p>
    <w:p w14:paraId="76352B90" w14:textId="7C9D6521" w:rsidR="00AB5D22" w:rsidRDefault="00AB5D22">
      <w:r>
        <w:t>The premise:</w:t>
      </w:r>
    </w:p>
    <w:p w14:paraId="4D50EECA" w14:textId="4BDBE6D0" w:rsidR="00AB5D22" w:rsidRDefault="004E7168">
      <w:r>
        <w:t>L</w:t>
      </w:r>
      <w:r w:rsidR="00AB5D22">
        <w:t xml:space="preserve">igand exchange rates cover many orders of magnitude. Our task is to explain why </w:t>
      </w:r>
      <w:r>
        <w:t xml:space="preserve">this is true </w:t>
      </w:r>
      <w:r w:rsidR="00AB5D22">
        <w:t xml:space="preserve">using a simple theory. Unfortunately, there are no “intermediate” theories </w:t>
      </w:r>
      <w:r>
        <w:t xml:space="preserve">that explain the concepts of </w:t>
      </w:r>
      <w:r>
        <w:rPr>
          <w:i/>
          <w:iCs/>
        </w:rPr>
        <w:t>inert</w:t>
      </w:r>
      <w:r>
        <w:t xml:space="preserve"> and </w:t>
      </w:r>
      <w:r>
        <w:rPr>
          <w:i/>
          <w:iCs/>
        </w:rPr>
        <w:t>labile</w:t>
      </w:r>
      <w:r w:rsidR="00AB5D22">
        <w:t xml:space="preserve">, </w:t>
      </w:r>
      <w:r>
        <w:t>so</w:t>
      </w:r>
      <w:r w:rsidR="00AB5D22">
        <w:t xml:space="preserve"> to really get a good answer would require carrying out high level QM calculations on your system of interest. Instead, let’s see if we can get a reasonable predictive theory using simple crystal/ligand field arguments. </w:t>
      </w:r>
      <w:r w:rsidR="007C379D">
        <w:t>The basis of our work will be the concept of Crystal Field Activation Energy</w:t>
      </w:r>
      <w:r w:rsidR="000A2FC8">
        <w:t xml:space="preserve"> (CFAE)</w:t>
      </w:r>
      <w:r w:rsidR="007C379D">
        <w:t xml:space="preserve">; the difference in activation energy for the ligand exchange process </w:t>
      </w:r>
      <w:r w:rsidR="000A2FC8">
        <w:t>that is caused by changes in Crystal Field.</w:t>
      </w:r>
    </w:p>
    <w:p w14:paraId="4E32A755" w14:textId="084A45B1" w:rsidR="000A2FC8" w:rsidRDefault="000A2FC8"/>
    <w:p w14:paraId="6597C904" w14:textId="2387BF3A" w:rsidR="00AB5D22" w:rsidRDefault="004E7168">
      <w:r>
        <w:t>D</w:t>
      </w:r>
      <w:r w:rsidR="00AB5D22">
        <w:t>ata</w:t>
      </w:r>
      <w:r>
        <w:t>:</w:t>
      </w:r>
    </w:p>
    <w:p w14:paraId="15D49B75" w14:textId="552FD101" w:rsidR="00436139" w:rsidRPr="002542FE" w:rsidRDefault="004E7168" w:rsidP="00436139">
      <w:pPr>
        <w:rPr>
          <w:i/>
          <w:iCs/>
        </w:rPr>
      </w:pPr>
      <w:r>
        <w:t>Here is some data collected from several sources that gives the electronic configuration and ligand exchange rate for several classes of transition metal complexes.</w:t>
      </w:r>
      <w:r w:rsidR="00436139">
        <w:t xml:space="preserve"> When the ligand exchange rate is on the order of 10</w:t>
      </w:r>
      <w:r w:rsidR="00436139">
        <w:rPr>
          <w:vertAlign w:val="superscript"/>
        </w:rPr>
        <w:t>8</w:t>
      </w:r>
      <w:r w:rsidR="00436139">
        <w:t xml:space="preserve"> s</w:t>
      </w:r>
      <w:r w:rsidR="00436139">
        <w:rPr>
          <w:vertAlign w:val="superscript"/>
        </w:rPr>
        <w:t>-1</w:t>
      </w:r>
      <w:r w:rsidR="00436139">
        <w:t xml:space="preserve"> or faster, this approaches the fastest possible rate; a diffusion limited rate can be calculated to be 10</w:t>
      </w:r>
      <w:r w:rsidR="00436139">
        <w:rPr>
          <w:vertAlign w:val="superscript"/>
        </w:rPr>
        <w:t>9</w:t>
      </w:r>
      <w:r w:rsidR="00436139">
        <w:t xml:space="preserve"> – 10</w:t>
      </w:r>
      <w:r w:rsidR="00436139">
        <w:rPr>
          <w:vertAlign w:val="superscript"/>
        </w:rPr>
        <w:t>11</w:t>
      </w:r>
      <w:r w:rsidR="00436139">
        <w:t xml:space="preserve"> s</w:t>
      </w:r>
      <w:r w:rsidR="00436139">
        <w:rPr>
          <w:vertAlign w:val="superscript"/>
        </w:rPr>
        <w:t>-1</w:t>
      </w:r>
      <w:r w:rsidR="00436139">
        <w:t>. This rate is seen in alkali metals</w:t>
      </w:r>
      <w:r w:rsidR="00700379">
        <w:t>,</w:t>
      </w:r>
      <w:r w:rsidR="00436139">
        <w:t xml:space="preserve"> </w:t>
      </w:r>
      <w:r w:rsidR="002542FE">
        <w:t xml:space="preserve">alkaline earths </w:t>
      </w:r>
      <w:r w:rsidR="00436139">
        <w:t>and some divalent transition metals. Labile metal complexes have rate constants ranging from 10</w:t>
      </w:r>
      <w:r w:rsidR="00436139">
        <w:rPr>
          <w:vertAlign w:val="superscript"/>
        </w:rPr>
        <w:t>4</w:t>
      </w:r>
      <w:r w:rsidR="00436139">
        <w:t xml:space="preserve"> – 10</w:t>
      </w:r>
      <w:r w:rsidR="00436139">
        <w:rPr>
          <w:vertAlign w:val="superscript"/>
        </w:rPr>
        <w:t>8</w:t>
      </w:r>
      <w:r w:rsidR="00436139">
        <w:t xml:space="preserve"> s</w:t>
      </w:r>
      <w:r w:rsidR="00436139">
        <w:rPr>
          <w:vertAlign w:val="superscript"/>
        </w:rPr>
        <w:t>-1</w:t>
      </w:r>
      <w:r w:rsidR="002542FE">
        <w:t xml:space="preserve">. </w:t>
      </w:r>
      <w:r w:rsidR="007A7709">
        <w:t xml:space="preserve">While indistinguishable in a practical sense, the rates can be measured. </w:t>
      </w:r>
      <w:r w:rsidR="002542FE">
        <w:t>Complexes on the high rate end include divalent transition metals, lanthanides, while slower rate complexes are trivalent transition metals. Inert metal complexes have rates ranging from 10</w:t>
      </w:r>
      <w:r w:rsidR="002542FE">
        <w:rPr>
          <w:vertAlign w:val="superscript"/>
        </w:rPr>
        <w:t>-1</w:t>
      </w:r>
      <w:r w:rsidR="002542FE">
        <w:t>-10</w:t>
      </w:r>
      <w:r w:rsidR="002542FE">
        <w:rPr>
          <w:vertAlign w:val="superscript"/>
        </w:rPr>
        <w:t>-8</w:t>
      </w:r>
      <w:r w:rsidR="002542FE">
        <w:t xml:space="preserve"> s</w:t>
      </w:r>
      <w:r w:rsidR="002542FE">
        <w:rPr>
          <w:vertAlign w:val="superscript"/>
        </w:rPr>
        <w:t>-1</w:t>
      </w:r>
      <w:r w:rsidR="002542FE">
        <w:t xml:space="preserve">. These complexes include </w:t>
      </w:r>
      <w:r w:rsidR="00700379">
        <w:t xml:space="preserve">the “classic” inert ions </w:t>
      </w:r>
      <w:r w:rsidR="002542FE">
        <w:t>Cr</w:t>
      </w:r>
      <w:r w:rsidR="002542FE">
        <w:rPr>
          <w:vertAlign w:val="superscript"/>
        </w:rPr>
        <w:t>3+</w:t>
      </w:r>
      <w:r w:rsidR="002542FE">
        <w:t xml:space="preserve"> and Co</w:t>
      </w:r>
      <w:r w:rsidR="002542FE">
        <w:rPr>
          <w:vertAlign w:val="superscript"/>
        </w:rPr>
        <w:t>3+</w:t>
      </w:r>
      <w:r w:rsidR="002542FE">
        <w:t xml:space="preserve">.  </w:t>
      </w:r>
    </w:p>
    <w:p w14:paraId="2AB21C48" w14:textId="77777777" w:rsidR="007A7709" w:rsidRDefault="007A7709" w:rsidP="00436139"/>
    <w:p w14:paraId="18B594B4" w14:textId="77777777" w:rsidR="00AC183A" w:rsidRDefault="00AC183A" w:rsidP="00AB5D22">
      <w:pPr>
        <w:sectPr w:rsidR="00AC183A" w:rsidSect="00392C9E">
          <w:headerReference w:type="default" r:id="rId7"/>
          <w:footerReference w:type="default" r:id="rId8"/>
          <w:pgSz w:w="12240" w:h="15840"/>
          <w:pgMar w:top="1440" w:right="1440" w:bottom="1440" w:left="1440" w:header="720" w:footer="720" w:gutter="0"/>
          <w:cols w:space="720"/>
          <w:docGrid w:linePitch="360"/>
        </w:sectPr>
      </w:pPr>
    </w:p>
    <w:p w14:paraId="076B1C10" w14:textId="334928F9" w:rsidR="00404A19" w:rsidRPr="00BE347E" w:rsidRDefault="007A7709" w:rsidP="00AB5D22">
      <w:pPr>
        <w:rPr>
          <w:vertAlign w:val="superscript"/>
        </w:rPr>
      </w:pPr>
      <w:r>
        <w:t>Divalent [M(H</w:t>
      </w:r>
      <w:r>
        <w:rPr>
          <w:vertAlign w:val="subscript"/>
        </w:rPr>
        <w:t>2</w:t>
      </w:r>
      <w:r>
        <w:t>O)</w:t>
      </w:r>
      <w:r>
        <w:rPr>
          <w:vertAlign w:val="subscript"/>
        </w:rPr>
        <w:t>6</w:t>
      </w:r>
      <w:r>
        <w:t>]</w:t>
      </w:r>
      <w:r w:rsidR="00901DF4">
        <w:rPr>
          <w:vertAlign w:val="superscript"/>
        </w:rPr>
        <w:t>n</w:t>
      </w:r>
      <w:r>
        <w:rPr>
          <w:vertAlign w:val="superscript"/>
        </w:rPr>
        <w:t>+</w:t>
      </w:r>
      <w:r>
        <w:t xml:space="preserve"> complexes</w:t>
      </w:r>
      <w:r w:rsidR="00901DF4">
        <w:t xml:space="preserve"> (high spin)</w:t>
      </w:r>
      <w:r w:rsidR="00BE347E">
        <w:rPr>
          <w:vertAlign w:val="superscript"/>
        </w:rPr>
        <w:t>1</w:t>
      </w:r>
      <w:r w:rsidR="004D0E84">
        <w:rPr>
          <w:vertAlign w:val="superscript"/>
        </w:rPr>
        <w:t>,2</w:t>
      </w:r>
    </w:p>
    <w:tbl>
      <w:tblPr>
        <w:tblStyle w:val="TableGrid"/>
        <w:tblW w:w="0" w:type="auto"/>
        <w:tblLook w:val="04A0" w:firstRow="1" w:lastRow="0" w:firstColumn="1" w:lastColumn="0" w:noHBand="0" w:noVBand="1"/>
      </w:tblPr>
      <w:tblGrid>
        <w:gridCol w:w="894"/>
        <w:gridCol w:w="2172"/>
        <w:gridCol w:w="1035"/>
      </w:tblGrid>
      <w:tr w:rsidR="00436139" w:rsidRPr="00E81F77" w14:paraId="175CAADC" w14:textId="77777777" w:rsidTr="00901DF4">
        <w:tc>
          <w:tcPr>
            <w:tcW w:w="0" w:type="auto"/>
          </w:tcPr>
          <w:p w14:paraId="65EF9D6D" w14:textId="4F9B8AAA" w:rsidR="00436139" w:rsidRPr="00E81F77" w:rsidRDefault="007A7709" w:rsidP="00AB4A2F">
            <w:r>
              <w:t>Cation</w:t>
            </w:r>
          </w:p>
        </w:tc>
        <w:tc>
          <w:tcPr>
            <w:tcW w:w="0" w:type="auto"/>
          </w:tcPr>
          <w:p w14:paraId="34773A50" w14:textId="201F1A8B" w:rsidR="00436139" w:rsidRPr="00901DF4" w:rsidRDefault="00436139" w:rsidP="00AB4A2F">
            <w:r>
              <w:t>L</w:t>
            </w:r>
            <w:r w:rsidRPr="00E81F77">
              <w:t xml:space="preserve"> exchange rate</w:t>
            </w:r>
            <w:r w:rsidR="00901DF4">
              <w:t xml:space="preserve"> (s</w:t>
            </w:r>
            <w:r w:rsidR="00901DF4">
              <w:rPr>
                <w:vertAlign w:val="superscript"/>
              </w:rPr>
              <w:t>-1</w:t>
            </w:r>
            <w:r w:rsidR="00901DF4">
              <w:t>)</w:t>
            </w:r>
          </w:p>
        </w:tc>
        <w:tc>
          <w:tcPr>
            <w:tcW w:w="0" w:type="auto"/>
          </w:tcPr>
          <w:p w14:paraId="5D04CF20" w14:textId="56D3EBFE" w:rsidR="00436139" w:rsidRPr="00E81F77" w:rsidRDefault="00436139" w:rsidP="00AB4A2F">
            <w:r>
              <w:t>e</w:t>
            </w:r>
            <w:r>
              <w:rPr>
                <w:vertAlign w:val="superscript"/>
              </w:rPr>
              <w:t>-</w:t>
            </w:r>
            <w:r>
              <w:t xml:space="preserve"> </w:t>
            </w:r>
            <w:r w:rsidRPr="00E81F77">
              <w:t>config</w:t>
            </w:r>
          </w:p>
        </w:tc>
      </w:tr>
      <w:tr w:rsidR="00436139" w:rsidRPr="00E81F77" w14:paraId="14A633CF" w14:textId="77777777" w:rsidTr="00901DF4">
        <w:tc>
          <w:tcPr>
            <w:tcW w:w="0" w:type="auto"/>
          </w:tcPr>
          <w:p w14:paraId="59137A5C" w14:textId="5D473285" w:rsidR="00436139" w:rsidRPr="00E81F77" w:rsidRDefault="00436139" w:rsidP="00AB4A2F">
            <w:r>
              <w:t>V(II)</w:t>
            </w:r>
          </w:p>
        </w:tc>
        <w:tc>
          <w:tcPr>
            <w:tcW w:w="0" w:type="auto"/>
          </w:tcPr>
          <w:p w14:paraId="5B49FD5A" w14:textId="5E67C292" w:rsidR="00436139" w:rsidRPr="007A7709" w:rsidRDefault="00436139" w:rsidP="00AB4A2F">
            <w:pPr>
              <w:rPr>
                <w:vertAlign w:val="superscript"/>
              </w:rPr>
            </w:pPr>
            <w:r>
              <w:t>8.7</w:t>
            </w:r>
            <w:r w:rsidR="007A7709">
              <w:t>·10</w:t>
            </w:r>
            <w:r w:rsidR="007A7709">
              <w:rPr>
                <w:vertAlign w:val="superscript"/>
              </w:rPr>
              <w:t>1</w:t>
            </w:r>
          </w:p>
        </w:tc>
        <w:tc>
          <w:tcPr>
            <w:tcW w:w="0" w:type="auto"/>
          </w:tcPr>
          <w:p w14:paraId="40894F0B" w14:textId="6F132784" w:rsidR="00436139" w:rsidRPr="00E81F77" w:rsidRDefault="00436139" w:rsidP="00AB4A2F">
            <w:r>
              <w:t>t</w:t>
            </w:r>
            <w:r w:rsidRPr="00901DF4">
              <w:rPr>
                <w:vertAlign w:val="subscript"/>
              </w:rPr>
              <w:t>2g</w:t>
            </w:r>
            <w:r w:rsidRPr="00901DF4">
              <w:rPr>
                <w:vertAlign w:val="superscript"/>
              </w:rPr>
              <w:t>3</w:t>
            </w:r>
          </w:p>
        </w:tc>
      </w:tr>
      <w:tr w:rsidR="00436139" w:rsidRPr="00E81F77" w14:paraId="66FD5D98" w14:textId="77777777" w:rsidTr="00901DF4">
        <w:tc>
          <w:tcPr>
            <w:tcW w:w="0" w:type="auto"/>
          </w:tcPr>
          <w:p w14:paraId="471E5B40" w14:textId="2ACA8FFE" w:rsidR="00436139" w:rsidRPr="00E81F77" w:rsidRDefault="00436139" w:rsidP="00AB4A2F">
            <w:r>
              <w:t>Cr(II)</w:t>
            </w:r>
          </w:p>
        </w:tc>
        <w:tc>
          <w:tcPr>
            <w:tcW w:w="0" w:type="auto"/>
          </w:tcPr>
          <w:p w14:paraId="729F71ED" w14:textId="649A494C" w:rsidR="00436139" w:rsidRPr="00E81F77" w:rsidRDefault="00436139" w:rsidP="00AB4A2F">
            <w:r>
              <w:t>1.2</w:t>
            </w:r>
            <w:r w:rsidR="007A7709">
              <w:t>·10</w:t>
            </w:r>
            <w:r w:rsidRPr="007A7709">
              <w:rPr>
                <w:vertAlign w:val="superscript"/>
              </w:rPr>
              <w:t>8</w:t>
            </w:r>
          </w:p>
        </w:tc>
        <w:tc>
          <w:tcPr>
            <w:tcW w:w="0" w:type="auto"/>
          </w:tcPr>
          <w:p w14:paraId="69E27C78" w14:textId="6A12C770" w:rsidR="00436139" w:rsidRPr="00E81F77" w:rsidRDefault="00901DF4" w:rsidP="00AB4A2F">
            <w:r>
              <w:t>t</w:t>
            </w:r>
            <w:r w:rsidRPr="00901DF4">
              <w:rPr>
                <w:vertAlign w:val="subscript"/>
              </w:rPr>
              <w:t>2g</w:t>
            </w:r>
            <w:r w:rsidRPr="00901DF4">
              <w:rPr>
                <w:vertAlign w:val="superscript"/>
              </w:rPr>
              <w:t>3</w:t>
            </w:r>
            <w:r w:rsidR="00436139">
              <w:t>e</w:t>
            </w:r>
            <w:r w:rsidR="00436139" w:rsidRPr="00901DF4">
              <w:rPr>
                <w:vertAlign w:val="subscript"/>
              </w:rPr>
              <w:t>g</w:t>
            </w:r>
            <w:r w:rsidR="00436139" w:rsidRPr="00901DF4">
              <w:rPr>
                <w:vertAlign w:val="superscript"/>
              </w:rPr>
              <w:t>1</w:t>
            </w:r>
          </w:p>
        </w:tc>
      </w:tr>
      <w:tr w:rsidR="00436139" w:rsidRPr="00E81F77" w14:paraId="67EBD340" w14:textId="77777777" w:rsidTr="00901DF4">
        <w:tc>
          <w:tcPr>
            <w:tcW w:w="0" w:type="auto"/>
          </w:tcPr>
          <w:p w14:paraId="20FC8BA1" w14:textId="45591A70" w:rsidR="00436139" w:rsidRPr="00E81F77" w:rsidRDefault="00436139" w:rsidP="00AB4A2F">
            <w:r>
              <w:t>Mn(II)</w:t>
            </w:r>
          </w:p>
        </w:tc>
        <w:tc>
          <w:tcPr>
            <w:tcW w:w="0" w:type="auto"/>
          </w:tcPr>
          <w:p w14:paraId="13855930" w14:textId="6BA01DCE" w:rsidR="00436139" w:rsidRPr="00E81F77" w:rsidRDefault="00436139" w:rsidP="00AB4A2F">
            <w:r>
              <w:t>2.1</w:t>
            </w:r>
            <w:r w:rsidR="007A7709">
              <w:t>·10</w:t>
            </w:r>
            <w:r w:rsidRPr="007A7709">
              <w:rPr>
                <w:vertAlign w:val="superscript"/>
              </w:rPr>
              <w:t>7</w:t>
            </w:r>
          </w:p>
        </w:tc>
        <w:tc>
          <w:tcPr>
            <w:tcW w:w="0" w:type="auto"/>
          </w:tcPr>
          <w:p w14:paraId="7DBB34AA" w14:textId="17D5E664" w:rsidR="00436139" w:rsidRPr="00E81F77" w:rsidRDefault="00901DF4" w:rsidP="00AB4A2F">
            <w:r>
              <w:t>t</w:t>
            </w:r>
            <w:r w:rsidRPr="00901DF4">
              <w:rPr>
                <w:vertAlign w:val="subscript"/>
              </w:rPr>
              <w:t>2g</w:t>
            </w:r>
            <w:r w:rsidRPr="00901DF4">
              <w:rPr>
                <w:vertAlign w:val="superscript"/>
              </w:rPr>
              <w:t>3</w:t>
            </w:r>
            <w:r w:rsidR="00436139">
              <w:t>e</w:t>
            </w:r>
            <w:r w:rsidR="00436139" w:rsidRPr="00901DF4">
              <w:rPr>
                <w:vertAlign w:val="subscript"/>
              </w:rPr>
              <w:t>g</w:t>
            </w:r>
            <w:r w:rsidR="00436139" w:rsidRPr="00901DF4">
              <w:rPr>
                <w:vertAlign w:val="superscript"/>
              </w:rPr>
              <w:t>2</w:t>
            </w:r>
          </w:p>
        </w:tc>
      </w:tr>
      <w:tr w:rsidR="00436139" w:rsidRPr="00E81F77" w14:paraId="59E1DAFC" w14:textId="77777777" w:rsidTr="00901DF4">
        <w:tc>
          <w:tcPr>
            <w:tcW w:w="0" w:type="auto"/>
          </w:tcPr>
          <w:p w14:paraId="5D143EFA" w14:textId="4BCB70B3" w:rsidR="00436139" w:rsidRPr="00E81F77" w:rsidRDefault="00436139" w:rsidP="00AB4A2F">
            <w:r>
              <w:t>Fe(II)</w:t>
            </w:r>
          </w:p>
        </w:tc>
        <w:tc>
          <w:tcPr>
            <w:tcW w:w="0" w:type="auto"/>
          </w:tcPr>
          <w:p w14:paraId="6CC0D8E8" w14:textId="52C2C136" w:rsidR="00436139" w:rsidRPr="00E81F77" w:rsidRDefault="00436139" w:rsidP="00AB4A2F">
            <w:r>
              <w:t>4.4</w:t>
            </w:r>
            <w:r w:rsidR="007A7709">
              <w:t>·10</w:t>
            </w:r>
            <w:r w:rsidRPr="007A7709">
              <w:rPr>
                <w:vertAlign w:val="superscript"/>
              </w:rPr>
              <w:t>6</w:t>
            </w:r>
          </w:p>
        </w:tc>
        <w:tc>
          <w:tcPr>
            <w:tcW w:w="0" w:type="auto"/>
          </w:tcPr>
          <w:p w14:paraId="3D4E1F30" w14:textId="14EB7D11" w:rsidR="00436139" w:rsidRPr="00E81F77" w:rsidRDefault="00901DF4" w:rsidP="00AB4A2F">
            <w:r>
              <w:t>t</w:t>
            </w:r>
            <w:r w:rsidRPr="00901DF4">
              <w:rPr>
                <w:vertAlign w:val="subscript"/>
              </w:rPr>
              <w:t>2g</w:t>
            </w:r>
            <w:r w:rsidRPr="00901DF4">
              <w:rPr>
                <w:vertAlign w:val="superscript"/>
              </w:rPr>
              <w:t>4</w:t>
            </w:r>
            <w:r w:rsidR="00436139" w:rsidRPr="00E81F77">
              <w:t>e</w:t>
            </w:r>
            <w:r w:rsidR="00436139" w:rsidRPr="00901DF4">
              <w:rPr>
                <w:vertAlign w:val="subscript"/>
              </w:rPr>
              <w:t>g</w:t>
            </w:r>
            <w:r w:rsidR="00436139" w:rsidRPr="00901DF4">
              <w:rPr>
                <w:vertAlign w:val="superscript"/>
              </w:rPr>
              <w:t>2</w:t>
            </w:r>
          </w:p>
        </w:tc>
      </w:tr>
      <w:tr w:rsidR="00436139" w:rsidRPr="00E20238" w14:paraId="0858D955" w14:textId="77777777" w:rsidTr="00901DF4">
        <w:tc>
          <w:tcPr>
            <w:tcW w:w="0" w:type="auto"/>
          </w:tcPr>
          <w:p w14:paraId="489ACAE4" w14:textId="3BC9E3E3" w:rsidR="00436139" w:rsidRPr="00E20238" w:rsidRDefault="00436139" w:rsidP="00AB4A2F">
            <w:pPr>
              <w:rPr>
                <w:b/>
                <w:bCs/>
              </w:rPr>
            </w:pPr>
            <w:r w:rsidRPr="00E20238">
              <w:rPr>
                <w:b/>
                <w:bCs/>
              </w:rPr>
              <w:t>Co(II)</w:t>
            </w:r>
          </w:p>
        </w:tc>
        <w:tc>
          <w:tcPr>
            <w:tcW w:w="0" w:type="auto"/>
          </w:tcPr>
          <w:p w14:paraId="75666265" w14:textId="5161DF1B" w:rsidR="00436139" w:rsidRPr="00E20238" w:rsidRDefault="00436139" w:rsidP="00AB4A2F">
            <w:pPr>
              <w:rPr>
                <w:b/>
                <w:bCs/>
              </w:rPr>
            </w:pPr>
            <w:r w:rsidRPr="00E20238">
              <w:rPr>
                <w:b/>
                <w:bCs/>
              </w:rPr>
              <w:t>3.2</w:t>
            </w:r>
            <w:r w:rsidR="007A7709" w:rsidRPr="00E20238">
              <w:rPr>
                <w:b/>
                <w:bCs/>
              </w:rPr>
              <w:t>·10</w:t>
            </w:r>
            <w:r w:rsidRPr="00E20238">
              <w:rPr>
                <w:b/>
                <w:bCs/>
                <w:vertAlign w:val="superscript"/>
              </w:rPr>
              <w:t>6</w:t>
            </w:r>
          </w:p>
        </w:tc>
        <w:tc>
          <w:tcPr>
            <w:tcW w:w="0" w:type="auto"/>
          </w:tcPr>
          <w:p w14:paraId="73D9A729" w14:textId="00124B4B" w:rsidR="00436139" w:rsidRPr="00E20238" w:rsidRDefault="00901DF4" w:rsidP="00AB4A2F">
            <w:pPr>
              <w:rPr>
                <w:b/>
                <w:bCs/>
              </w:rPr>
            </w:pPr>
            <w:r w:rsidRPr="00E20238">
              <w:rPr>
                <w:b/>
                <w:bCs/>
              </w:rPr>
              <w:t>t</w:t>
            </w:r>
            <w:r w:rsidRPr="00E20238">
              <w:rPr>
                <w:b/>
                <w:bCs/>
                <w:vertAlign w:val="subscript"/>
              </w:rPr>
              <w:t>2g</w:t>
            </w:r>
            <w:r w:rsidRPr="00E20238">
              <w:rPr>
                <w:b/>
                <w:bCs/>
                <w:vertAlign w:val="superscript"/>
              </w:rPr>
              <w:t>5</w:t>
            </w:r>
            <w:r w:rsidR="00436139" w:rsidRPr="00E20238">
              <w:rPr>
                <w:b/>
                <w:bCs/>
              </w:rPr>
              <w:t>e</w:t>
            </w:r>
            <w:r w:rsidR="00436139" w:rsidRPr="00E20238">
              <w:rPr>
                <w:b/>
                <w:bCs/>
                <w:vertAlign w:val="subscript"/>
              </w:rPr>
              <w:t>g</w:t>
            </w:r>
            <w:r w:rsidR="00436139" w:rsidRPr="00E20238">
              <w:rPr>
                <w:b/>
                <w:bCs/>
                <w:vertAlign w:val="superscript"/>
              </w:rPr>
              <w:t>2</w:t>
            </w:r>
          </w:p>
        </w:tc>
      </w:tr>
      <w:tr w:rsidR="00436139" w:rsidRPr="00E81F77" w14:paraId="4DA65347" w14:textId="77777777" w:rsidTr="00901DF4">
        <w:tc>
          <w:tcPr>
            <w:tcW w:w="0" w:type="auto"/>
          </w:tcPr>
          <w:p w14:paraId="538FCB42" w14:textId="4E18F5CC" w:rsidR="00436139" w:rsidRDefault="00436139" w:rsidP="00AB4A2F">
            <w:r>
              <w:t>N</w:t>
            </w:r>
            <w:r w:rsidR="00627CD4">
              <w:t>i</w:t>
            </w:r>
            <w:r>
              <w:t>(II)</w:t>
            </w:r>
          </w:p>
        </w:tc>
        <w:tc>
          <w:tcPr>
            <w:tcW w:w="0" w:type="auto"/>
          </w:tcPr>
          <w:p w14:paraId="4E757CAA" w14:textId="79A846A6" w:rsidR="00436139" w:rsidRDefault="00436139" w:rsidP="00AB4A2F">
            <w:r>
              <w:t>3.2</w:t>
            </w:r>
            <w:r w:rsidR="007A7709">
              <w:t>·10</w:t>
            </w:r>
            <w:r w:rsidRPr="007A7709">
              <w:rPr>
                <w:vertAlign w:val="superscript"/>
              </w:rPr>
              <w:t>4</w:t>
            </w:r>
          </w:p>
        </w:tc>
        <w:tc>
          <w:tcPr>
            <w:tcW w:w="0" w:type="auto"/>
          </w:tcPr>
          <w:p w14:paraId="0C3C6FDC" w14:textId="0E912F7B" w:rsidR="00436139" w:rsidRPr="00E81F77" w:rsidRDefault="00901DF4" w:rsidP="00AB4A2F">
            <w:r>
              <w:t>t</w:t>
            </w:r>
            <w:r w:rsidRPr="00901DF4">
              <w:rPr>
                <w:vertAlign w:val="subscript"/>
              </w:rPr>
              <w:t>2g</w:t>
            </w:r>
            <w:r>
              <w:rPr>
                <w:vertAlign w:val="superscript"/>
              </w:rPr>
              <w:t>6</w:t>
            </w:r>
            <w:r w:rsidR="00436139" w:rsidRPr="00E81F77">
              <w:t>e</w:t>
            </w:r>
            <w:r w:rsidR="00436139" w:rsidRPr="00901DF4">
              <w:rPr>
                <w:vertAlign w:val="subscript"/>
              </w:rPr>
              <w:t>g</w:t>
            </w:r>
            <w:r w:rsidR="00436139" w:rsidRPr="00901DF4">
              <w:rPr>
                <w:vertAlign w:val="superscript"/>
              </w:rPr>
              <w:t>2</w:t>
            </w:r>
          </w:p>
        </w:tc>
      </w:tr>
      <w:tr w:rsidR="00901DF4" w:rsidRPr="00E81F77" w14:paraId="1629DA5B" w14:textId="77777777" w:rsidTr="00901DF4">
        <w:tc>
          <w:tcPr>
            <w:tcW w:w="0" w:type="auto"/>
          </w:tcPr>
          <w:p w14:paraId="20D30C1D" w14:textId="77777777" w:rsidR="00901DF4" w:rsidRPr="00E81F77" w:rsidRDefault="00901DF4" w:rsidP="00AB4A2F">
            <w:r>
              <w:t>Ti(III)</w:t>
            </w:r>
          </w:p>
        </w:tc>
        <w:tc>
          <w:tcPr>
            <w:tcW w:w="0" w:type="auto"/>
          </w:tcPr>
          <w:p w14:paraId="5B8484B5" w14:textId="77777777" w:rsidR="00901DF4" w:rsidRPr="00E81F77" w:rsidRDefault="00901DF4" w:rsidP="00AB4A2F">
            <w:r>
              <w:t>1.8·10</w:t>
            </w:r>
            <w:r w:rsidRPr="007A7709">
              <w:rPr>
                <w:vertAlign w:val="superscript"/>
              </w:rPr>
              <w:t>5</w:t>
            </w:r>
          </w:p>
        </w:tc>
        <w:tc>
          <w:tcPr>
            <w:tcW w:w="0" w:type="auto"/>
          </w:tcPr>
          <w:p w14:paraId="05E3FB3C" w14:textId="77777777" w:rsidR="00901DF4" w:rsidRPr="00901DF4" w:rsidRDefault="00901DF4" w:rsidP="00AB4A2F">
            <w:pPr>
              <w:rPr>
                <w:vertAlign w:val="superscript"/>
              </w:rPr>
            </w:pPr>
            <w:r>
              <w:t>t</w:t>
            </w:r>
            <w:r w:rsidRPr="00901DF4">
              <w:rPr>
                <w:vertAlign w:val="subscript"/>
              </w:rPr>
              <w:t>2g</w:t>
            </w:r>
            <w:r>
              <w:rPr>
                <w:vertAlign w:val="superscript"/>
              </w:rPr>
              <w:t>1</w:t>
            </w:r>
          </w:p>
        </w:tc>
      </w:tr>
      <w:tr w:rsidR="00901DF4" w:rsidRPr="00E81F77" w14:paraId="41DE1BB2" w14:textId="77777777" w:rsidTr="00901DF4">
        <w:tc>
          <w:tcPr>
            <w:tcW w:w="0" w:type="auto"/>
          </w:tcPr>
          <w:p w14:paraId="5EAA9951" w14:textId="77777777" w:rsidR="00901DF4" w:rsidRPr="00E81F77" w:rsidRDefault="00901DF4" w:rsidP="00AB4A2F">
            <w:r>
              <w:t>V(III)</w:t>
            </w:r>
          </w:p>
        </w:tc>
        <w:tc>
          <w:tcPr>
            <w:tcW w:w="0" w:type="auto"/>
          </w:tcPr>
          <w:p w14:paraId="51C8A479" w14:textId="77777777" w:rsidR="00901DF4" w:rsidRPr="00E81F77" w:rsidRDefault="00901DF4" w:rsidP="00AB4A2F">
            <w:r>
              <w:t>5·10</w:t>
            </w:r>
            <w:r w:rsidRPr="007A7709">
              <w:rPr>
                <w:vertAlign w:val="superscript"/>
              </w:rPr>
              <w:t>2</w:t>
            </w:r>
          </w:p>
        </w:tc>
        <w:tc>
          <w:tcPr>
            <w:tcW w:w="0" w:type="auto"/>
          </w:tcPr>
          <w:p w14:paraId="195A8CF4" w14:textId="77777777" w:rsidR="00901DF4" w:rsidRPr="00E81F77" w:rsidRDefault="00901DF4" w:rsidP="00AB4A2F">
            <w:r>
              <w:t>t</w:t>
            </w:r>
            <w:r w:rsidRPr="00901DF4">
              <w:rPr>
                <w:vertAlign w:val="subscript"/>
              </w:rPr>
              <w:t>2g</w:t>
            </w:r>
            <w:r>
              <w:rPr>
                <w:vertAlign w:val="superscript"/>
              </w:rPr>
              <w:t>2</w:t>
            </w:r>
          </w:p>
        </w:tc>
      </w:tr>
      <w:tr w:rsidR="00901DF4" w:rsidRPr="00E20238" w14:paraId="214701EC" w14:textId="77777777" w:rsidTr="00901DF4">
        <w:tc>
          <w:tcPr>
            <w:tcW w:w="0" w:type="auto"/>
          </w:tcPr>
          <w:p w14:paraId="00D95834" w14:textId="77777777" w:rsidR="00901DF4" w:rsidRPr="00E20238" w:rsidRDefault="00901DF4" w:rsidP="00AB4A2F">
            <w:pPr>
              <w:rPr>
                <w:b/>
                <w:bCs/>
              </w:rPr>
            </w:pPr>
            <w:r w:rsidRPr="00E20238">
              <w:rPr>
                <w:b/>
                <w:bCs/>
              </w:rPr>
              <w:t>Cr(III)</w:t>
            </w:r>
          </w:p>
        </w:tc>
        <w:tc>
          <w:tcPr>
            <w:tcW w:w="0" w:type="auto"/>
          </w:tcPr>
          <w:p w14:paraId="2D1982E2" w14:textId="3BB5D7EF" w:rsidR="00901DF4" w:rsidRPr="00E20238" w:rsidRDefault="00901DF4" w:rsidP="00AB4A2F">
            <w:pPr>
              <w:rPr>
                <w:b/>
                <w:bCs/>
              </w:rPr>
            </w:pPr>
            <w:r w:rsidRPr="00E20238">
              <w:rPr>
                <w:b/>
                <w:bCs/>
              </w:rPr>
              <w:t>2.4·10</w:t>
            </w:r>
            <w:r w:rsidR="002843C3" w:rsidRPr="00E20238">
              <w:rPr>
                <w:b/>
                <w:bCs/>
                <w:vertAlign w:val="superscript"/>
              </w:rPr>
              <w:t>-</w:t>
            </w:r>
            <w:r w:rsidRPr="00E20238">
              <w:rPr>
                <w:b/>
                <w:bCs/>
                <w:vertAlign w:val="superscript"/>
              </w:rPr>
              <w:t>6</w:t>
            </w:r>
          </w:p>
        </w:tc>
        <w:tc>
          <w:tcPr>
            <w:tcW w:w="0" w:type="auto"/>
          </w:tcPr>
          <w:p w14:paraId="46BED039" w14:textId="77777777" w:rsidR="00901DF4" w:rsidRPr="00E20238" w:rsidRDefault="00901DF4" w:rsidP="00AB4A2F">
            <w:pPr>
              <w:rPr>
                <w:b/>
                <w:bCs/>
              </w:rPr>
            </w:pPr>
            <w:r w:rsidRPr="00E20238">
              <w:rPr>
                <w:b/>
                <w:bCs/>
              </w:rPr>
              <w:t>t</w:t>
            </w:r>
            <w:r w:rsidRPr="00E20238">
              <w:rPr>
                <w:b/>
                <w:bCs/>
                <w:vertAlign w:val="subscript"/>
              </w:rPr>
              <w:t>2g</w:t>
            </w:r>
            <w:r w:rsidRPr="00E20238">
              <w:rPr>
                <w:b/>
                <w:bCs/>
                <w:vertAlign w:val="superscript"/>
              </w:rPr>
              <w:t>3</w:t>
            </w:r>
          </w:p>
        </w:tc>
      </w:tr>
      <w:tr w:rsidR="00901DF4" w:rsidRPr="00E81F77" w14:paraId="2CA64C43" w14:textId="77777777" w:rsidTr="00901DF4">
        <w:tc>
          <w:tcPr>
            <w:tcW w:w="0" w:type="auto"/>
          </w:tcPr>
          <w:p w14:paraId="3C218969" w14:textId="77777777" w:rsidR="00901DF4" w:rsidRPr="00E81F77" w:rsidRDefault="00901DF4" w:rsidP="00AB4A2F">
            <w:r>
              <w:t>Fe(III)</w:t>
            </w:r>
          </w:p>
        </w:tc>
        <w:tc>
          <w:tcPr>
            <w:tcW w:w="0" w:type="auto"/>
          </w:tcPr>
          <w:p w14:paraId="6DA15057" w14:textId="77777777" w:rsidR="00901DF4" w:rsidRPr="00E81F77" w:rsidRDefault="00901DF4" w:rsidP="00AB4A2F">
            <w:r>
              <w:t>1.6·10</w:t>
            </w:r>
            <w:r w:rsidRPr="007A7709">
              <w:rPr>
                <w:vertAlign w:val="superscript"/>
              </w:rPr>
              <w:t>2</w:t>
            </w:r>
          </w:p>
        </w:tc>
        <w:tc>
          <w:tcPr>
            <w:tcW w:w="0" w:type="auto"/>
          </w:tcPr>
          <w:p w14:paraId="60941995" w14:textId="77777777" w:rsidR="00901DF4" w:rsidRPr="00E81F77" w:rsidRDefault="00901DF4" w:rsidP="00AB4A2F">
            <w:r>
              <w:t>t</w:t>
            </w:r>
            <w:r w:rsidRPr="00901DF4">
              <w:rPr>
                <w:vertAlign w:val="subscript"/>
              </w:rPr>
              <w:t>2g</w:t>
            </w:r>
            <w:r w:rsidRPr="00901DF4">
              <w:rPr>
                <w:vertAlign w:val="superscript"/>
              </w:rPr>
              <w:t>3</w:t>
            </w:r>
            <w:r>
              <w:t>e</w:t>
            </w:r>
            <w:r w:rsidRPr="00901DF4">
              <w:rPr>
                <w:vertAlign w:val="subscript"/>
              </w:rPr>
              <w:t>g</w:t>
            </w:r>
            <w:r w:rsidRPr="00901DF4">
              <w:rPr>
                <w:vertAlign w:val="superscript"/>
              </w:rPr>
              <w:t>2</w:t>
            </w:r>
          </w:p>
        </w:tc>
      </w:tr>
      <w:tr w:rsidR="00C57E8A" w:rsidRPr="00E20238" w14:paraId="1E1980F0" w14:textId="77777777" w:rsidTr="00901DF4">
        <w:tc>
          <w:tcPr>
            <w:tcW w:w="0" w:type="auto"/>
          </w:tcPr>
          <w:p w14:paraId="3547F489" w14:textId="6C988ABF" w:rsidR="00C57E8A" w:rsidRPr="00E20238" w:rsidRDefault="00C57E8A" w:rsidP="00C57E8A">
            <w:pPr>
              <w:ind w:left="720" w:hanging="720"/>
              <w:rPr>
                <w:b/>
                <w:bCs/>
              </w:rPr>
            </w:pPr>
            <w:r w:rsidRPr="00E20238">
              <w:rPr>
                <w:b/>
                <w:bCs/>
              </w:rPr>
              <w:t>Co(III)</w:t>
            </w:r>
            <w:r w:rsidRPr="00E20238">
              <w:rPr>
                <w:b/>
                <w:bCs/>
                <w:vertAlign w:val="superscript"/>
              </w:rPr>
              <w:t>†</w:t>
            </w:r>
          </w:p>
        </w:tc>
        <w:tc>
          <w:tcPr>
            <w:tcW w:w="0" w:type="auto"/>
          </w:tcPr>
          <w:p w14:paraId="247D0696" w14:textId="0AF0974F" w:rsidR="00C57E8A" w:rsidRPr="00E20238" w:rsidRDefault="00C57E8A" w:rsidP="00AB4A2F">
            <w:pPr>
              <w:rPr>
                <w:b/>
                <w:bCs/>
              </w:rPr>
            </w:pPr>
            <w:r w:rsidRPr="00E20238">
              <w:rPr>
                <w:b/>
                <w:bCs/>
              </w:rPr>
              <w:t>5.7·10</w:t>
            </w:r>
            <w:r w:rsidRPr="00E20238">
              <w:rPr>
                <w:b/>
                <w:bCs/>
                <w:vertAlign w:val="superscript"/>
              </w:rPr>
              <w:t>-6</w:t>
            </w:r>
          </w:p>
        </w:tc>
        <w:tc>
          <w:tcPr>
            <w:tcW w:w="0" w:type="auto"/>
          </w:tcPr>
          <w:p w14:paraId="6B7261A9" w14:textId="32528BD8" w:rsidR="00C57E8A" w:rsidRPr="00E20238" w:rsidRDefault="00C57E8A" w:rsidP="00AB4A2F">
            <w:pPr>
              <w:rPr>
                <w:b/>
                <w:bCs/>
              </w:rPr>
            </w:pPr>
            <w:r w:rsidRPr="00E20238">
              <w:rPr>
                <w:b/>
                <w:bCs/>
              </w:rPr>
              <w:t>t</w:t>
            </w:r>
            <w:r w:rsidRPr="00E20238">
              <w:rPr>
                <w:b/>
                <w:bCs/>
                <w:vertAlign w:val="subscript"/>
              </w:rPr>
              <w:t>2g</w:t>
            </w:r>
            <w:r w:rsidRPr="00E20238">
              <w:rPr>
                <w:b/>
                <w:bCs/>
                <w:vertAlign w:val="superscript"/>
              </w:rPr>
              <w:t>6</w:t>
            </w:r>
          </w:p>
        </w:tc>
      </w:tr>
    </w:tbl>
    <w:p w14:paraId="50547BF2" w14:textId="270299CD" w:rsidR="00EB76A6" w:rsidRDefault="00C57E8A" w:rsidP="00AB5D22">
      <w:r>
        <w:rPr>
          <w:vertAlign w:val="superscript"/>
        </w:rPr>
        <w:t>†</w:t>
      </w:r>
      <w:r>
        <w:t xml:space="preserve">for </w:t>
      </w:r>
      <w:r w:rsidR="00053C85">
        <w:t xml:space="preserve">low spin </w:t>
      </w:r>
      <w:r>
        <w:t>[Co(NH</w:t>
      </w:r>
      <w:r>
        <w:rPr>
          <w:vertAlign w:val="subscript"/>
        </w:rPr>
        <w:t>3</w:t>
      </w:r>
      <w:r>
        <w:t>)</w:t>
      </w:r>
      <w:r>
        <w:rPr>
          <w:vertAlign w:val="subscript"/>
        </w:rPr>
        <w:t>5</w:t>
      </w:r>
      <w:r>
        <w:t>(H</w:t>
      </w:r>
      <w:r>
        <w:rPr>
          <w:vertAlign w:val="subscript"/>
        </w:rPr>
        <w:t>2</w:t>
      </w:r>
      <w:r>
        <w:t>O)]</w:t>
      </w:r>
      <w:r>
        <w:rPr>
          <w:vertAlign w:val="superscript"/>
        </w:rPr>
        <w:t>3+</w:t>
      </w:r>
    </w:p>
    <w:p w14:paraId="32ECAF82" w14:textId="72609951" w:rsidR="00C57E8A" w:rsidRDefault="00C57E8A" w:rsidP="00AB5D22"/>
    <w:p w14:paraId="7EE6B4A7" w14:textId="73AD7129" w:rsidR="00AC183A" w:rsidRDefault="00AC183A" w:rsidP="00AB5D22"/>
    <w:p w14:paraId="5FDB33E5" w14:textId="6D9DB5DF" w:rsidR="00AC183A" w:rsidRDefault="00AC183A" w:rsidP="00AB5D22"/>
    <w:p w14:paraId="565718BB" w14:textId="77777777" w:rsidR="00A15D87" w:rsidRDefault="00A15D87" w:rsidP="00AB5D22"/>
    <w:p w14:paraId="212F24C0" w14:textId="28A1ACFF" w:rsidR="00AC183A" w:rsidRDefault="00AC183A" w:rsidP="00AB5D22"/>
    <w:p w14:paraId="6CDD23B4" w14:textId="77777777" w:rsidR="00AC183A" w:rsidRPr="00C57E8A" w:rsidRDefault="00AC183A" w:rsidP="00AB5D22"/>
    <w:p w14:paraId="068E5E5D" w14:textId="30E22096" w:rsidR="00AB5D22" w:rsidRPr="00BE347E" w:rsidRDefault="00901DF4" w:rsidP="00AB5D22">
      <w:pPr>
        <w:rPr>
          <w:vertAlign w:val="superscript"/>
        </w:rPr>
      </w:pPr>
      <w:r>
        <w:t>2</w:t>
      </w:r>
      <w:r w:rsidRPr="00901DF4">
        <w:rPr>
          <w:vertAlign w:val="superscript"/>
        </w:rPr>
        <w:t>nd</w:t>
      </w:r>
      <w:r>
        <w:t xml:space="preserve"> and 3</w:t>
      </w:r>
      <w:r w:rsidRPr="00901DF4">
        <w:rPr>
          <w:vertAlign w:val="superscript"/>
        </w:rPr>
        <w:t>rd</w:t>
      </w:r>
      <w:r>
        <w:t xml:space="preserve"> row [M(H</w:t>
      </w:r>
      <w:r>
        <w:rPr>
          <w:vertAlign w:val="subscript"/>
        </w:rPr>
        <w:t>2</w:t>
      </w:r>
      <w:r>
        <w:t>O)</w:t>
      </w:r>
      <w:r>
        <w:rPr>
          <w:vertAlign w:val="subscript"/>
        </w:rPr>
        <w:t>6</w:t>
      </w:r>
      <w:r>
        <w:t>]</w:t>
      </w:r>
      <w:r>
        <w:rPr>
          <w:vertAlign w:val="superscript"/>
        </w:rPr>
        <w:t>n+</w:t>
      </w:r>
      <w:r>
        <w:t xml:space="preserve"> complexes</w:t>
      </w:r>
      <w:r w:rsidR="00BE347E">
        <w:rPr>
          <w:vertAlign w:val="superscript"/>
        </w:rPr>
        <w:t>1</w:t>
      </w:r>
      <w:r w:rsidR="004D0E84">
        <w:rPr>
          <w:vertAlign w:val="superscript"/>
        </w:rPr>
        <w:t>,2</w:t>
      </w:r>
    </w:p>
    <w:tbl>
      <w:tblPr>
        <w:tblStyle w:val="TableGrid"/>
        <w:tblW w:w="0" w:type="auto"/>
        <w:tblLook w:val="04A0" w:firstRow="1" w:lastRow="0" w:firstColumn="1" w:lastColumn="0" w:noHBand="0" w:noVBand="1"/>
      </w:tblPr>
      <w:tblGrid>
        <w:gridCol w:w="848"/>
        <w:gridCol w:w="2172"/>
        <w:gridCol w:w="1016"/>
      </w:tblGrid>
      <w:tr w:rsidR="00901DF4" w:rsidRPr="00E81F77" w14:paraId="594FDDA5" w14:textId="77777777" w:rsidTr="00901DF4">
        <w:tc>
          <w:tcPr>
            <w:tcW w:w="0" w:type="auto"/>
          </w:tcPr>
          <w:p w14:paraId="749522D0" w14:textId="6C4C7BBA" w:rsidR="00901DF4" w:rsidRPr="00E81F77" w:rsidRDefault="00901DF4" w:rsidP="00AB4A2F">
            <w:r>
              <w:t>Cation</w:t>
            </w:r>
          </w:p>
        </w:tc>
        <w:tc>
          <w:tcPr>
            <w:tcW w:w="0" w:type="auto"/>
          </w:tcPr>
          <w:p w14:paraId="186575F5" w14:textId="6C3DB571" w:rsidR="00901DF4" w:rsidRPr="00901DF4" w:rsidRDefault="00901DF4" w:rsidP="00AB4A2F">
            <w:r>
              <w:t xml:space="preserve">L </w:t>
            </w:r>
            <w:r w:rsidRPr="00E81F77">
              <w:t>exchange rate</w:t>
            </w:r>
            <w:r>
              <w:t xml:space="preserve"> (s</w:t>
            </w:r>
            <w:r>
              <w:rPr>
                <w:vertAlign w:val="superscript"/>
              </w:rPr>
              <w:t>-1</w:t>
            </w:r>
            <w:r>
              <w:t>)</w:t>
            </w:r>
          </w:p>
        </w:tc>
        <w:tc>
          <w:tcPr>
            <w:tcW w:w="0" w:type="auto"/>
          </w:tcPr>
          <w:p w14:paraId="076AFD2B" w14:textId="1BA2B09F" w:rsidR="00901DF4" w:rsidRPr="00E81F77" w:rsidRDefault="00901DF4" w:rsidP="00AB4A2F">
            <w:r>
              <w:t>e</w:t>
            </w:r>
            <w:r>
              <w:rPr>
                <w:vertAlign w:val="superscript"/>
              </w:rPr>
              <w:t xml:space="preserve">- </w:t>
            </w:r>
            <w:r w:rsidRPr="00E81F77">
              <w:t>config</w:t>
            </w:r>
          </w:p>
        </w:tc>
      </w:tr>
      <w:tr w:rsidR="00901DF4" w:rsidRPr="00E81F77" w14:paraId="1753DD5A" w14:textId="77777777" w:rsidTr="00901DF4">
        <w:tc>
          <w:tcPr>
            <w:tcW w:w="0" w:type="auto"/>
          </w:tcPr>
          <w:p w14:paraId="67F6DCDA" w14:textId="0A4FE02A" w:rsidR="00901DF4" w:rsidRPr="00E81F77" w:rsidRDefault="00901DF4" w:rsidP="00AB4A2F">
            <w:r>
              <w:t>Ru(II)</w:t>
            </w:r>
          </w:p>
        </w:tc>
        <w:tc>
          <w:tcPr>
            <w:tcW w:w="0" w:type="auto"/>
          </w:tcPr>
          <w:p w14:paraId="04839634" w14:textId="701B449C" w:rsidR="00901DF4" w:rsidRPr="00E81F77" w:rsidRDefault="00901DF4" w:rsidP="00AB4A2F">
            <w:r>
              <w:t>1.8·10</w:t>
            </w:r>
            <w:r w:rsidRPr="007A7709">
              <w:rPr>
                <w:vertAlign w:val="superscript"/>
              </w:rPr>
              <w:t>-2</w:t>
            </w:r>
          </w:p>
        </w:tc>
        <w:tc>
          <w:tcPr>
            <w:tcW w:w="0" w:type="auto"/>
          </w:tcPr>
          <w:p w14:paraId="4725F7CC" w14:textId="5B18936E" w:rsidR="00901DF4" w:rsidRPr="00E81F77" w:rsidRDefault="00901DF4" w:rsidP="00AB4A2F">
            <w:r>
              <w:t>t</w:t>
            </w:r>
            <w:r w:rsidRPr="00901DF4">
              <w:rPr>
                <w:vertAlign w:val="subscript"/>
              </w:rPr>
              <w:t>2g</w:t>
            </w:r>
            <w:r>
              <w:rPr>
                <w:vertAlign w:val="superscript"/>
              </w:rPr>
              <w:t>6</w:t>
            </w:r>
          </w:p>
        </w:tc>
      </w:tr>
      <w:tr w:rsidR="00901DF4" w:rsidRPr="00E81F77" w14:paraId="43358EAE" w14:textId="77777777" w:rsidTr="00901DF4">
        <w:tc>
          <w:tcPr>
            <w:tcW w:w="0" w:type="auto"/>
          </w:tcPr>
          <w:p w14:paraId="075F7D12" w14:textId="1B7FB79F" w:rsidR="00901DF4" w:rsidRPr="00E81F77" w:rsidRDefault="00901DF4" w:rsidP="00AB4A2F">
            <w:r>
              <w:t>Ru(III)</w:t>
            </w:r>
          </w:p>
        </w:tc>
        <w:tc>
          <w:tcPr>
            <w:tcW w:w="0" w:type="auto"/>
          </w:tcPr>
          <w:p w14:paraId="754DD7EE" w14:textId="401C48E1" w:rsidR="00901DF4" w:rsidRPr="00E81F77" w:rsidRDefault="00901DF4" w:rsidP="00AB4A2F">
            <w:r>
              <w:t>3.5·10</w:t>
            </w:r>
            <w:r w:rsidRPr="007A7709">
              <w:rPr>
                <w:vertAlign w:val="superscript"/>
              </w:rPr>
              <w:t>-6</w:t>
            </w:r>
          </w:p>
        </w:tc>
        <w:tc>
          <w:tcPr>
            <w:tcW w:w="0" w:type="auto"/>
          </w:tcPr>
          <w:p w14:paraId="4661AEBC" w14:textId="7911476F" w:rsidR="00901DF4" w:rsidRPr="00E81F77" w:rsidRDefault="00901DF4" w:rsidP="00AB4A2F">
            <w:r>
              <w:t>t</w:t>
            </w:r>
            <w:r w:rsidRPr="00901DF4">
              <w:rPr>
                <w:vertAlign w:val="subscript"/>
              </w:rPr>
              <w:t>2g</w:t>
            </w:r>
            <w:r>
              <w:rPr>
                <w:vertAlign w:val="superscript"/>
              </w:rPr>
              <w:t>5</w:t>
            </w:r>
          </w:p>
        </w:tc>
      </w:tr>
      <w:tr w:rsidR="00901DF4" w:rsidRPr="00E81F77" w14:paraId="79DC9BAF" w14:textId="77777777" w:rsidTr="00901DF4">
        <w:tc>
          <w:tcPr>
            <w:tcW w:w="0" w:type="auto"/>
          </w:tcPr>
          <w:p w14:paraId="78AF73C3" w14:textId="5BD79CEF" w:rsidR="00901DF4" w:rsidRPr="00E81F77" w:rsidRDefault="00901DF4" w:rsidP="00AB4A2F">
            <w:r>
              <w:t>Rh(III)</w:t>
            </w:r>
          </w:p>
        </w:tc>
        <w:tc>
          <w:tcPr>
            <w:tcW w:w="0" w:type="auto"/>
          </w:tcPr>
          <w:p w14:paraId="7DF8F5C6" w14:textId="527D651F" w:rsidR="00901DF4" w:rsidRPr="00E81F77" w:rsidRDefault="00901DF4" w:rsidP="00AB4A2F">
            <w:r>
              <w:t>2.2·10</w:t>
            </w:r>
            <w:r w:rsidRPr="007A7709">
              <w:rPr>
                <w:vertAlign w:val="superscript"/>
              </w:rPr>
              <w:t>-9</w:t>
            </w:r>
          </w:p>
        </w:tc>
        <w:tc>
          <w:tcPr>
            <w:tcW w:w="0" w:type="auto"/>
          </w:tcPr>
          <w:p w14:paraId="52F9A989" w14:textId="5468CFBA" w:rsidR="00901DF4" w:rsidRPr="00E81F77" w:rsidRDefault="00901DF4" w:rsidP="00AB4A2F">
            <w:r>
              <w:t>t</w:t>
            </w:r>
            <w:r w:rsidRPr="00901DF4">
              <w:rPr>
                <w:vertAlign w:val="subscript"/>
              </w:rPr>
              <w:t>2g</w:t>
            </w:r>
            <w:r>
              <w:rPr>
                <w:vertAlign w:val="superscript"/>
              </w:rPr>
              <w:t>6</w:t>
            </w:r>
          </w:p>
        </w:tc>
      </w:tr>
      <w:tr w:rsidR="00901DF4" w:rsidRPr="00E81F77" w14:paraId="2349833F" w14:textId="77777777" w:rsidTr="00901DF4">
        <w:tc>
          <w:tcPr>
            <w:tcW w:w="0" w:type="auto"/>
          </w:tcPr>
          <w:p w14:paraId="1F4D8D6D" w14:textId="0C746AFF" w:rsidR="00901DF4" w:rsidRPr="00E81F77" w:rsidRDefault="00901DF4" w:rsidP="00AB4A2F">
            <w:proofErr w:type="spellStart"/>
            <w:r>
              <w:t>Ir</w:t>
            </w:r>
            <w:proofErr w:type="spellEnd"/>
            <w:r>
              <w:t>(III)</w:t>
            </w:r>
          </w:p>
        </w:tc>
        <w:tc>
          <w:tcPr>
            <w:tcW w:w="0" w:type="auto"/>
          </w:tcPr>
          <w:p w14:paraId="7D374405" w14:textId="3B681156" w:rsidR="00901DF4" w:rsidRPr="00E81F77" w:rsidRDefault="00901DF4" w:rsidP="00AB4A2F">
            <w:r>
              <w:t>1.1·10</w:t>
            </w:r>
            <w:r w:rsidRPr="007A7709">
              <w:rPr>
                <w:vertAlign w:val="superscript"/>
              </w:rPr>
              <w:t>-10</w:t>
            </w:r>
          </w:p>
        </w:tc>
        <w:tc>
          <w:tcPr>
            <w:tcW w:w="0" w:type="auto"/>
          </w:tcPr>
          <w:p w14:paraId="4C396136" w14:textId="1949351A" w:rsidR="00901DF4" w:rsidRPr="00E81F77" w:rsidRDefault="00901DF4" w:rsidP="00AB4A2F">
            <w:r>
              <w:t>t</w:t>
            </w:r>
            <w:r w:rsidRPr="00901DF4">
              <w:rPr>
                <w:vertAlign w:val="subscript"/>
              </w:rPr>
              <w:t>2g</w:t>
            </w:r>
            <w:r>
              <w:rPr>
                <w:vertAlign w:val="superscript"/>
              </w:rPr>
              <w:t>6</w:t>
            </w:r>
          </w:p>
        </w:tc>
      </w:tr>
    </w:tbl>
    <w:p w14:paraId="4EF4190B" w14:textId="47AE441A" w:rsidR="00A5682D" w:rsidRDefault="00A5682D" w:rsidP="00AB5D22"/>
    <w:p w14:paraId="03776A5F" w14:textId="698F272B" w:rsidR="00A5682D" w:rsidRPr="00BE347E" w:rsidRDefault="00901DF4" w:rsidP="00AB5D22">
      <w:pPr>
        <w:rPr>
          <w:vertAlign w:val="superscript"/>
        </w:rPr>
      </w:pPr>
      <w:r>
        <w:t>Low-spin metal cyano complexes</w:t>
      </w:r>
      <w:r w:rsidR="004D0E84">
        <w:rPr>
          <w:vertAlign w:val="superscript"/>
        </w:rPr>
        <w:t>3</w:t>
      </w:r>
    </w:p>
    <w:tbl>
      <w:tblPr>
        <w:tblStyle w:val="TableGrid"/>
        <w:tblW w:w="0" w:type="auto"/>
        <w:tblLook w:val="04A0" w:firstRow="1" w:lastRow="0" w:firstColumn="1" w:lastColumn="0" w:noHBand="0" w:noVBand="1"/>
      </w:tblPr>
      <w:tblGrid>
        <w:gridCol w:w="1332"/>
        <w:gridCol w:w="2012"/>
        <w:gridCol w:w="966"/>
      </w:tblGrid>
      <w:tr w:rsidR="00901DF4" w:rsidRPr="00901DF4" w14:paraId="1132DD38" w14:textId="77777777" w:rsidTr="00901DF4">
        <w:tc>
          <w:tcPr>
            <w:tcW w:w="0" w:type="auto"/>
          </w:tcPr>
          <w:p w14:paraId="5B3DE0F7" w14:textId="77777777" w:rsidR="00901DF4" w:rsidRPr="00901DF4" w:rsidRDefault="00901DF4" w:rsidP="00AB4A2F">
            <w:r w:rsidRPr="00901DF4">
              <w:t>Anion</w:t>
            </w:r>
          </w:p>
        </w:tc>
        <w:tc>
          <w:tcPr>
            <w:tcW w:w="0" w:type="auto"/>
          </w:tcPr>
          <w:p w14:paraId="6FEC3912" w14:textId="2C25CBA2" w:rsidR="00901DF4" w:rsidRPr="00901DF4" w:rsidRDefault="00901DF4" w:rsidP="00AB4A2F">
            <w:r w:rsidRPr="00901DF4">
              <w:t>CN</w:t>
            </w:r>
            <w:r>
              <w:rPr>
                <w:vertAlign w:val="superscript"/>
              </w:rPr>
              <w:t>-</w:t>
            </w:r>
            <w:r w:rsidRPr="00901DF4">
              <w:t xml:space="preserve"> exchange rate</w:t>
            </w:r>
            <w:r>
              <w:t xml:space="preserve"> (s</w:t>
            </w:r>
            <w:r>
              <w:rPr>
                <w:vertAlign w:val="superscript"/>
              </w:rPr>
              <w:t>-1</w:t>
            </w:r>
            <w:r>
              <w:t>)</w:t>
            </w:r>
          </w:p>
        </w:tc>
        <w:tc>
          <w:tcPr>
            <w:tcW w:w="0" w:type="auto"/>
          </w:tcPr>
          <w:p w14:paraId="54566378" w14:textId="77777777" w:rsidR="00901DF4" w:rsidRPr="00901DF4" w:rsidRDefault="00901DF4" w:rsidP="00AB4A2F">
            <w:r w:rsidRPr="00901DF4">
              <w:t>e</w:t>
            </w:r>
            <w:r w:rsidRPr="00901DF4">
              <w:rPr>
                <w:vertAlign w:val="superscript"/>
              </w:rPr>
              <w:t>-</w:t>
            </w:r>
            <w:r w:rsidRPr="00901DF4">
              <w:t xml:space="preserve"> config</w:t>
            </w:r>
          </w:p>
        </w:tc>
      </w:tr>
      <w:tr w:rsidR="00901DF4" w:rsidRPr="00901DF4" w14:paraId="152A50FA" w14:textId="77777777" w:rsidTr="00901DF4">
        <w:tc>
          <w:tcPr>
            <w:tcW w:w="0" w:type="auto"/>
          </w:tcPr>
          <w:p w14:paraId="675D7306" w14:textId="587D3A9D" w:rsidR="00901DF4" w:rsidRPr="00901DF4" w:rsidRDefault="00901DF4" w:rsidP="00AB4A2F">
            <w:r>
              <w:t>[</w:t>
            </w:r>
            <w:r w:rsidRPr="00901DF4">
              <w:t>V(CN)</w:t>
            </w:r>
            <w:r w:rsidRPr="00901DF4">
              <w:rPr>
                <w:vertAlign w:val="subscript"/>
              </w:rPr>
              <w:t>6</w:t>
            </w:r>
            <w:r w:rsidRPr="00901DF4">
              <w:t>]</w:t>
            </w:r>
            <w:r w:rsidRPr="00901DF4">
              <w:rPr>
                <w:vertAlign w:val="superscript"/>
              </w:rPr>
              <w:t>-4</w:t>
            </w:r>
          </w:p>
        </w:tc>
        <w:tc>
          <w:tcPr>
            <w:tcW w:w="0" w:type="auto"/>
          </w:tcPr>
          <w:p w14:paraId="0712AA8A" w14:textId="77777777" w:rsidR="00901DF4" w:rsidRPr="00901DF4" w:rsidRDefault="00901DF4" w:rsidP="00AB4A2F">
            <w:r w:rsidRPr="00901DF4">
              <w:t>&gt;1·10</w:t>
            </w:r>
            <w:r w:rsidRPr="00901DF4">
              <w:rPr>
                <w:vertAlign w:val="superscript"/>
              </w:rPr>
              <w:t>-2</w:t>
            </w:r>
          </w:p>
        </w:tc>
        <w:tc>
          <w:tcPr>
            <w:tcW w:w="0" w:type="auto"/>
          </w:tcPr>
          <w:p w14:paraId="72251F2F" w14:textId="7FB380E1" w:rsidR="00901DF4" w:rsidRPr="00901DF4" w:rsidRDefault="00C437AF" w:rsidP="00AB4A2F">
            <w:r>
              <w:t>t</w:t>
            </w:r>
            <w:r w:rsidRPr="00901DF4">
              <w:rPr>
                <w:vertAlign w:val="subscript"/>
              </w:rPr>
              <w:t>2g</w:t>
            </w:r>
            <w:r w:rsidR="00250D19">
              <w:rPr>
                <w:vertAlign w:val="superscript"/>
              </w:rPr>
              <w:t>3</w:t>
            </w:r>
          </w:p>
        </w:tc>
      </w:tr>
      <w:tr w:rsidR="00901DF4" w:rsidRPr="00901DF4" w14:paraId="73A76139" w14:textId="77777777" w:rsidTr="00901DF4">
        <w:tc>
          <w:tcPr>
            <w:tcW w:w="0" w:type="auto"/>
          </w:tcPr>
          <w:p w14:paraId="137146E3" w14:textId="573E7951" w:rsidR="00901DF4" w:rsidRPr="00901DF4" w:rsidRDefault="00901DF4" w:rsidP="00AB4A2F">
            <w:r>
              <w:t>[</w:t>
            </w:r>
            <w:r w:rsidRPr="00901DF4">
              <w:t>Cr(CN)</w:t>
            </w:r>
            <w:r w:rsidRPr="00901DF4">
              <w:rPr>
                <w:vertAlign w:val="subscript"/>
              </w:rPr>
              <w:t>6</w:t>
            </w:r>
            <w:r w:rsidRPr="00901DF4">
              <w:t>]</w:t>
            </w:r>
            <w:r w:rsidRPr="00901DF4">
              <w:rPr>
                <w:vertAlign w:val="superscript"/>
              </w:rPr>
              <w:t>-4</w:t>
            </w:r>
          </w:p>
        </w:tc>
        <w:tc>
          <w:tcPr>
            <w:tcW w:w="0" w:type="auto"/>
          </w:tcPr>
          <w:p w14:paraId="7BB9318D" w14:textId="77777777" w:rsidR="00901DF4" w:rsidRPr="00901DF4" w:rsidRDefault="00901DF4" w:rsidP="00AB4A2F">
            <w:r w:rsidRPr="00901DF4">
              <w:t>&gt;1·10</w:t>
            </w:r>
            <w:r w:rsidRPr="00901DF4">
              <w:rPr>
                <w:vertAlign w:val="superscript"/>
              </w:rPr>
              <w:t>-2</w:t>
            </w:r>
          </w:p>
        </w:tc>
        <w:tc>
          <w:tcPr>
            <w:tcW w:w="0" w:type="auto"/>
          </w:tcPr>
          <w:p w14:paraId="0AAEEC2E" w14:textId="2381CD48" w:rsidR="00901DF4" w:rsidRPr="00901DF4" w:rsidRDefault="002843C3" w:rsidP="00AB4A2F">
            <w:r>
              <w:t>t</w:t>
            </w:r>
            <w:r w:rsidRPr="00901DF4">
              <w:rPr>
                <w:vertAlign w:val="subscript"/>
              </w:rPr>
              <w:t>2g</w:t>
            </w:r>
            <w:r>
              <w:rPr>
                <w:vertAlign w:val="superscript"/>
              </w:rPr>
              <w:t>4</w:t>
            </w:r>
          </w:p>
        </w:tc>
      </w:tr>
      <w:tr w:rsidR="00901DF4" w:rsidRPr="002843C3" w14:paraId="7E249BF5" w14:textId="77777777" w:rsidTr="00901DF4">
        <w:tc>
          <w:tcPr>
            <w:tcW w:w="0" w:type="auto"/>
          </w:tcPr>
          <w:p w14:paraId="7749B09B" w14:textId="12C101EE" w:rsidR="00901DF4" w:rsidRPr="002843C3" w:rsidRDefault="00901DF4" w:rsidP="00AB4A2F">
            <w:pPr>
              <w:rPr>
                <w:b/>
                <w:bCs/>
              </w:rPr>
            </w:pPr>
            <w:r w:rsidRPr="002843C3">
              <w:rPr>
                <w:b/>
                <w:bCs/>
              </w:rPr>
              <w:t>[Cr(CN)</w:t>
            </w:r>
            <w:r w:rsidRPr="002843C3">
              <w:rPr>
                <w:b/>
                <w:bCs/>
                <w:vertAlign w:val="subscript"/>
              </w:rPr>
              <w:t>6</w:t>
            </w:r>
            <w:r w:rsidRPr="002843C3">
              <w:rPr>
                <w:b/>
                <w:bCs/>
              </w:rPr>
              <w:t>]</w:t>
            </w:r>
            <w:r w:rsidRPr="002843C3">
              <w:rPr>
                <w:b/>
                <w:bCs/>
                <w:vertAlign w:val="superscript"/>
              </w:rPr>
              <w:t>-3</w:t>
            </w:r>
          </w:p>
        </w:tc>
        <w:tc>
          <w:tcPr>
            <w:tcW w:w="0" w:type="auto"/>
          </w:tcPr>
          <w:p w14:paraId="61090F89" w14:textId="77777777" w:rsidR="00901DF4" w:rsidRPr="002843C3" w:rsidRDefault="00901DF4" w:rsidP="00AB4A2F">
            <w:pPr>
              <w:rPr>
                <w:b/>
                <w:bCs/>
              </w:rPr>
            </w:pPr>
            <w:r w:rsidRPr="002843C3">
              <w:rPr>
                <w:b/>
                <w:bCs/>
              </w:rPr>
              <w:t>3·10</w:t>
            </w:r>
            <w:r w:rsidRPr="002843C3">
              <w:rPr>
                <w:b/>
                <w:bCs/>
                <w:vertAlign w:val="superscript"/>
              </w:rPr>
              <w:t>-7</w:t>
            </w:r>
          </w:p>
        </w:tc>
        <w:tc>
          <w:tcPr>
            <w:tcW w:w="0" w:type="auto"/>
          </w:tcPr>
          <w:p w14:paraId="33A5E3E5" w14:textId="25DB2289" w:rsidR="00901DF4" w:rsidRPr="002843C3" w:rsidRDefault="002843C3" w:rsidP="00AB4A2F">
            <w:pPr>
              <w:rPr>
                <w:b/>
                <w:bCs/>
              </w:rPr>
            </w:pPr>
            <w:r w:rsidRPr="002843C3">
              <w:rPr>
                <w:b/>
                <w:bCs/>
              </w:rPr>
              <w:t>t</w:t>
            </w:r>
            <w:r w:rsidRPr="002843C3">
              <w:rPr>
                <w:b/>
                <w:bCs/>
                <w:vertAlign w:val="subscript"/>
              </w:rPr>
              <w:t>2g</w:t>
            </w:r>
            <w:r w:rsidRPr="002843C3">
              <w:rPr>
                <w:b/>
                <w:bCs/>
                <w:vertAlign w:val="superscript"/>
              </w:rPr>
              <w:t>3</w:t>
            </w:r>
          </w:p>
        </w:tc>
      </w:tr>
      <w:tr w:rsidR="00901DF4" w:rsidRPr="00901DF4" w14:paraId="33D0143B" w14:textId="77777777" w:rsidTr="00901DF4">
        <w:tc>
          <w:tcPr>
            <w:tcW w:w="0" w:type="auto"/>
          </w:tcPr>
          <w:p w14:paraId="5D80090D" w14:textId="1173B159" w:rsidR="00901DF4" w:rsidRPr="00901DF4" w:rsidRDefault="00901DF4" w:rsidP="00AB4A2F">
            <w:r>
              <w:t>[</w:t>
            </w:r>
            <w:r w:rsidRPr="00901DF4">
              <w:t>Mn(CN)</w:t>
            </w:r>
            <w:r w:rsidRPr="00901DF4">
              <w:rPr>
                <w:vertAlign w:val="subscript"/>
              </w:rPr>
              <w:t>6</w:t>
            </w:r>
            <w:r w:rsidRPr="00901DF4">
              <w:t>]</w:t>
            </w:r>
            <w:r w:rsidRPr="00901DF4">
              <w:rPr>
                <w:vertAlign w:val="superscript"/>
              </w:rPr>
              <w:t>-4</w:t>
            </w:r>
          </w:p>
        </w:tc>
        <w:tc>
          <w:tcPr>
            <w:tcW w:w="0" w:type="auto"/>
          </w:tcPr>
          <w:p w14:paraId="13E82C17" w14:textId="77777777" w:rsidR="00901DF4" w:rsidRPr="00901DF4" w:rsidRDefault="00901DF4" w:rsidP="00AB4A2F">
            <w:r w:rsidRPr="00901DF4">
              <w:t>&gt;1·10</w:t>
            </w:r>
            <w:r w:rsidRPr="00901DF4">
              <w:rPr>
                <w:vertAlign w:val="superscript"/>
              </w:rPr>
              <w:t>-2</w:t>
            </w:r>
          </w:p>
        </w:tc>
        <w:tc>
          <w:tcPr>
            <w:tcW w:w="0" w:type="auto"/>
          </w:tcPr>
          <w:p w14:paraId="4CF02534" w14:textId="3B23212B" w:rsidR="00901DF4" w:rsidRPr="00901DF4" w:rsidRDefault="002843C3" w:rsidP="00AB4A2F">
            <w:r>
              <w:t>t</w:t>
            </w:r>
            <w:r w:rsidRPr="00901DF4">
              <w:rPr>
                <w:vertAlign w:val="subscript"/>
              </w:rPr>
              <w:t>2g</w:t>
            </w:r>
            <w:r>
              <w:rPr>
                <w:vertAlign w:val="superscript"/>
              </w:rPr>
              <w:t>5</w:t>
            </w:r>
          </w:p>
        </w:tc>
      </w:tr>
      <w:tr w:rsidR="00901DF4" w:rsidRPr="002843C3" w14:paraId="3E4375FC" w14:textId="77777777" w:rsidTr="00901DF4">
        <w:tc>
          <w:tcPr>
            <w:tcW w:w="0" w:type="auto"/>
          </w:tcPr>
          <w:p w14:paraId="50A4FB31" w14:textId="1E676B6A" w:rsidR="00901DF4" w:rsidRPr="002843C3" w:rsidRDefault="00901DF4" w:rsidP="00AB4A2F">
            <w:pPr>
              <w:rPr>
                <w:b/>
                <w:bCs/>
              </w:rPr>
            </w:pPr>
            <w:r w:rsidRPr="002843C3">
              <w:rPr>
                <w:b/>
                <w:bCs/>
              </w:rPr>
              <w:t>[Mn(CN)</w:t>
            </w:r>
            <w:r w:rsidRPr="002843C3">
              <w:rPr>
                <w:b/>
                <w:bCs/>
                <w:vertAlign w:val="subscript"/>
              </w:rPr>
              <w:t>6</w:t>
            </w:r>
            <w:r w:rsidRPr="002843C3">
              <w:rPr>
                <w:b/>
                <w:bCs/>
              </w:rPr>
              <w:t>]</w:t>
            </w:r>
            <w:r w:rsidRPr="002843C3">
              <w:rPr>
                <w:b/>
                <w:bCs/>
                <w:vertAlign w:val="superscript"/>
              </w:rPr>
              <w:t>-3</w:t>
            </w:r>
          </w:p>
        </w:tc>
        <w:tc>
          <w:tcPr>
            <w:tcW w:w="0" w:type="auto"/>
          </w:tcPr>
          <w:p w14:paraId="644565E2" w14:textId="77777777" w:rsidR="00901DF4" w:rsidRPr="002843C3" w:rsidRDefault="00901DF4" w:rsidP="00AB4A2F">
            <w:pPr>
              <w:rPr>
                <w:b/>
                <w:bCs/>
              </w:rPr>
            </w:pPr>
            <w:r w:rsidRPr="002843C3">
              <w:rPr>
                <w:b/>
                <w:bCs/>
              </w:rPr>
              <w:t>2·10</w:t>
            </w:r>
            <w:r w:rsidRPr="002843C3">
              <w:rPr>
                <w:b/>
                <w:bCs/>
                <w:vertAlign w:val="superscript"/>
              </w:rPr>
              <w:t>-4</w:t>
            </w:r>
          </w:p>
        </w:tc>
        <w:tc>
          <w:tcPr>
            <w:tcW w:w="0" w:type="auto"/>
          </w:tcPr>
          <w:p w14:paraId="55627C32" w14:textId="131D7BF9" w:rsidR="00901DF4" w:rsidRPr="002843C3" w:rsidRDefault="002843C3" w:rsidP="00AB4A2F">
            <w:pPr>
              <w:rPr>
                <w:b/>
                <w:bCs/>
              </w:rPr>
            </w:pPr>
            <w:r w:rsidRPr="002843C3">
              <w:rPr>
                <w:b/>
                <w:bCs/>
              </w:rPr>
              <w:t>t</w:t>
            </w:r>
            <w:r w:rsidRPr="002843C3">
              <w:rPr>
                <w:b/>
                <w:bCs/>
                <w:vertAlign w:val="subscript"/>
              </w:rPr>
              <w:t>2g</w:t>
            </w:r>
            <w:r w:rsidRPr="002843C3">
              <w:rPr>
                <w:b/>
                <w:bCs/>
                <w:vertAlign w:val="superscript"/>
              </w:rPr>
              <w:t>4</w:t>
            </w:r>
          </w:p>
        </w:tc>
      </w:tr>
      <w:tr w:rsidR="00901DF4" w:rsidRPr="00901DF4" w14:paraId="61FF4312" w14:textId="77777777" w:rsidTr="00901DF4">
        <w:tc>
          <w:tcPr>
            <w:tcW w:w="0" w:type="auto"/>
          </w:tcPr>
          <w:p w14:paraId="3D122CFF" w14:textId="00909150" w:rsidR="00901DF4" w:rsidRPr="00901DF4" w:rsidRDefault="00901DF4" w:rsidP="00AB4A2F">
            <w:r>
              <w:t>[</w:t>
            </w:r>
            <w:r w:rsidRPr="00901DF4">
              <w:t>Fe(CN)</w:t>
            </w:r>
            <w:r w:rsidRPr="00901DF4">
              <w:rPr>
                <w:vertAlign w:val="subscript"/>
              </w:rPr>
              <w:t>6</w:t>
            </w:r>
            <w:r w:rsidRPr="00901DF4">
              <w:t>]</w:t>
            </w:r>
            <w:r w:rsidRPr="00901DF4">
              <w:rPr>
                <w:vertAlign w:val="superscript"/>
              </w:rPr>
              <w:t>-4</w:t>
            </w:r>
          </w:p>
        </w:tc>
        <w:tc>
          <w:tcPr>
            <w:tcW w:w="0" w:type="auto"/>
          </w:tcPr>
          <w:p w14:paraId="7D55146A" w14:textId="77777777" w:rsidR="00901DF4" w:rsidRPr="00901DF4" w:rsidRDefault="00901DF4" w:rsidP="00AB4A2F">
            <w:r w:rsidRPr="00901DF4">
              <w:t>&lt;1·10</w:t>
            </w:r>
            <w:r w:rsidRPr="00901DF4">
              <w:rPr>
                <w:vertAlign w:val="superscript"/>
              </w:rPr>
              <w:t>-6</w:t>
            </w:r>
          </w:p>
        </w:tc>
        <w:tc>
          <w:tcPr>
            <w:tcW w:w="0" w:type="auto"/>
          </w:tcPr>
          <w:p w14:paraId="43FD2849" w14:textId="17C14FCD" w:rsidR="00901DF4" w:rsidRPr="00901DF4" w:rsidRDefault="002843C3" w:rsidP="00AB4A2F">
            <w:r>
              <w:t>t</w:t>
            </w:r>
            <w:r w:rsidRPr="00901DF4">
              <w:rPr>
                <w:vertAlign w:val="subscript"/>
              </w:rPr>
              <w:t>2g</w:t>
            </w:r>
            <w:r>
              <w:rPr>
                <w:vertAlign w:val="superscript"/>
              </w:rPr>
              <w:t>6</w:t>
            </w:r>
          </w:p>
        </w:tc>
      </w:tr>
      <w:tr w:rsidR="00901DF4" w:rsidRPr="00901DF4" w14:paraId="2D3DF089" w14:textId="77777777" w:rsidTr="00901DF4">
        <w:tc>
          <w:tcPr>
            <w:tcW w:w="0" w:type="auto"/>
          </w:tcPr>
          <w:p w14:paraId="18BCFF7B" w14:textId="45234855" w:rsidR="00901DF4" w:rsidRPr="00901DF4" w:rsidRDefault="00901DF4" w:rsidP="00AB4A2F">
            <w:r>
              <w:t>[</w:t>
            </w:r>
            <w:r w:rsidRPr="00901DF4">
              <w:t>Fe(CN)</w:t>
            </w:r>
            <w:r w:rsidRPr="00901DF4">
              <w:rPr>
                <w:vertAlign w:val="subscript"/>
              </w:rPr>
              <w:t>6</w:t>
            </w:r>
            <w:r w:rsidRPr="00901DF4">
              <w:t>]</w:t>
            </w:r>
            <w:r w:rsidRPr="00901DF4">
              <w:rPr>
                <w:vertAlign w:val="superscript"/>
              </w:rPr>
              <w:t>-3</w:t>
            </w:r>
          </w:p>
        </w:tc>
        <w:tc>
          <w:tcPr>
            <w:tcW w:w="0" w:type="auto"/>
          </w:tcPr>
          <w:p w14:paraId="25A1C16A" w14:textId="77777777" w:rsidR="00901DF4" w:rsidRPr="00901DF4" w:rsidRDefault="00901DF4" w:rsidP="00AB4A2F">
            <w:r w:rsidRPr="00901DF4">
              <w:t>&lt;1·10</w:t>
            </w:r>
            <w:r w:rsidRPr="00901DF4">
              <w:rPr>
                <w:vertAlign w:val="superscript"/>
              </w:rPr>
              <w:t>-6</w:t>
            </w:r>
          </w:p>
        </w:tc>
        <w:tc>
          <w:tcPr>
            <w:tcW w:w="0" w:type="auto"/>
          </w:tcPr>
          <w:p w14:paraId="4985CE08" w14:textId="5F37D801" w:rsidR="00901DF4" w:rsidRPr="00901DF4" w:rsidRDefault="002843C3" w:rsidP="00AB4A2F">
            <w:r>
              <w:t>t</w:t>
            </w:r>
            <w:r w:rsidRPr="00901DF4">
              <w:rPr>
                <w:vertAlign w:val="subscript"/>
              </w:rPr>
              <w:t>2g</w:t>
            </w:r>
            <w:r>
              <w:rPr>
                <w:vertAlign w:val="superscript"/>
              </w:rPr>
              <w:t>5</w:t>
            </w:r>
          </w:p>
        </w:tc>
      </w:tr>
      <w:tr w:rsidR="00901DF4" w:rsidRPr="00901DF4" w14:paraId="59101187" w14:textId="77777777" w:rsidTr="00901DF4">
        <w:tc>
          <w:tcPr>
            <w:tcW w:w="0" w:type="auto"/>
          </w:tcPr>
          <w:p w14:paraId="3C417343" w14:textId="759ACD67" w:rsidR="00901DF4" w:rsidRPr="00901DF4" w:rsidRDefault="00901DF4" w:rsidP="00AB4A2F">
            <w:r>
              <w:t>[</w:t>
            </w:r>
            <w:r w:rsidRPr="00901DF4">
              <w:t>Co(CN)</w:t>
            </w:r>
            <w:r w:rsidRPr="00901DF4">
              <w:rPr>
                <w:vertAlign w:val="subscript"/>
              </w:rPr>
              <w:t>6</w:t>
            </w:r>
            <w:r w:rsidRPr="00901DF4">
              <w:t>]</w:t>
            </w:r>
            <w:r w:rsidRPr="00901DF4">
              <w:rPr>
                <w:vertAlign w:val="superscript"/>
              </w:rPr>
              <w:t>-3</w:t>
            </w:r>
          </w:p>
        </w:tc>
        <w:tc>
          <w:tcPr>
            <w:tcW w:w="0" w:type="auto"/>
          </w:tcPr>
          <w:p w14:paraId="35EFB3B9" w14:textId="77777777" w:rsidR="00901DF4" w:rsidRPr="00901DF4" w:rsidRDefault="00901DF4" w:rsidP="00AB4A2F">
            <w:r w:rsidRPr="00901DF4">
              <w:t>&lt;1·10</w:t>
            </w:r>
            <w:r w:rsidRPr="00901DF4">
              <w:rPr>
                <w:vertAlign w:val="superscript"/>
              </w:rPr>
              <w:t>-6</w:t>
            </w:r>
          </w:p>
        </w:tc>
        <w:tc>
          <w:tcPr>
            <w:tcW w:w="0" w:type="auto"/>
          </w:tcPr>
          <w:p w14:paraId="47CE86A4" w14:textId="3A647A55" w:rsidR="00901DF4" w:rsidRPr="00901DF4" w:rsidRDefault="002843C3" w:rsidP="00AB4A2F">
            <w:r>
              <w:t>t</w:t>
            </w:r>
            <w:r w:rsidRPr="00901DF4">
              <w:rPr>
                <w:vertAlign w:val="subscript"/>
              </w:rPr>
              <w:t>2g</w:t>
            </w:r>
            <w:r>
              <w:rPr>
                <w:vertAlign w:val="superscript"/>
              </w:rPr>
              <w:t>6</w:t>
            </w:r>
          </w:p>
        </w:tc>
      </w:tr>
    </w:tbl>
    <w:p w14:paraId="6D4B08D6" w14:textId="318C9254" w:rsidR="00BE347E" w:rsidRDefault="00BE347E" w:rsidP="00436139"/>
    <w:p w14:paraId="3D2E43BC" w14:textId="77777777" w:rsidR="00AC183A" w:rsidRDefault="00AC183A" w:rsidP="00436139">
      <w:pPr>
        <w:sectPr w:rsidR="00AC183A" w:rsidSect="00392C9E">
          <w:type w:val="continuous"/>
          <w:pgSz w:w="12240" w:h="15840"/>
          <w:pgMar w:top="1440" w:right="1440" w:bottom="1440" w:left="1440" w:header="720" w:footer="720" w:gutter="0"/>
          <w:cols w:num="2" w:space="720"/>
          <w:docGrid w:linePitch="360"/>
        </w:sectPr>
      </w:pPr>
    </w:p>
    <w:p w14:paraId="6E23BA97" w14:textId="32E956FE" w:rsidR="000A2FC8" w:rsidRDefault="000A2FC8" w:rsidP="00436139">
      <w:r>
        <w:lastRenderedPageBreak/>
        <w:t>Notice some facts:</w:t>
      </w:r>
    </w:p>
    <w:p w14:paraId="0F90BEFB" w14:textId="53AF2B9E" w:rsidR="000A2FC8" w:rsidRPr="00A15D87" w:rsidRDefault="000A2FC8" w:rsidP="000A2FC8">
      <w:r>
        <w:t>Water exchange rates for divalent 3</w:t>
      </w:r>
      <w:r w:rsidRPr="00436139">
        <w:rPr>
          <w:vertAlign w:val="superscript"/>
        </w:rPr>
        <w:t>rd</w:t>
      </w:r>
      <w:r>
        <w:t xml:space="preserve"> row transition metals follow the following order, but it is hard to find a trend: V</w:t>
      </w:r>
      <w:r>
        <w:rPr>
          <w:vertAlign w:val="superscript"/>
        </w:rPr>
        <w:t>2+</w:t>
      </w:r>
      <w:r>
        <w:t xml:space="preserve"> &lt; Ni</w:t>
      </w:r>
      <w:r>
        <w:rPr>
          <w:vertAlign w:val="superscript"/>
        </w:rPr>
        <w:t>2+</w:t>
      </w:r>
      <w:r>
        <w:t xml:space="preserve"> &lt; Co</w:t>
      </w:r>
      <w:r>
        <w:rPr>
          <w:vertAlign w:val="superscript"/>
        </w:rPr>
        <w:t>2+</w:t>
      </w:r>
      <w:r>
        <w:t xml:space="preserve"> &lt; Fe</w:t>
      </w:r>
      <w:r>
        <w:rPr>
          <w:vertAlign w:val="superscript"/>
        </w:rPr>
        <w:t>2+</w:t>
      </w:r>
      <w:r>
        <w:t xml:space="preserve"> &lt; Mn</w:t>
      </w:r>
      <w:r>
        <w:rPr>
          <w:vertAlign w:val="superscript"/>
        </w:rPr>
        <w:t>2+</w:t>
      </w:r>
      <w:r>
        <w:t xml:space="preserve"> &lt; Cu</w:t>
      </w:r>
      <w:r>
        <w:rPr>
          <w:vertAlign w:val="superscript"/>
        </w:rPr>
        <w:t>2+</w:t>
      </w:r>
      <w:r w:rsidR="00A15D87">
        <w:t xml:space="preserve">. </w:t>
      </w:r>
      <w:r>
        <w:t>V</w:t>
      </w:r>
      <w:r>
        <w:rPr>
          <w:vertAlign w:val="superscript"/>
        </w:rPr>
        <w:t>2+</w:t>
      </w:r>
      <w:r>
        <w:t xml:space="preserve"> is six times slower than V</w:t>
      </w:r>
      <w:r>
        <w:rPr>
          <w:vertAlign w:val="superscript"/>
        </w:rPr>
        <w:t>3+</w:t>
      </w:r>
      <w:r w:rsidR="00A15D87">
        <w:t>.</w:t>
      </w:r>
    </w:p>
    <w:p w14:paraId="49C593C0" w14:textId="5491C831" w:rsidR="000A2FC8" w:rsidRDefault="005D574C" w:rsidP="00436139">
      <w:pPr>
        <w:rPr>
          <w:vertAlign w:val="superscript"/>
        </w:rPr>
      </w:pPr>
      <w:r>
        <w:t>The water exchange rate for Co</w:t>
      </w:r>
      <w:r>
        <w:rPr>
          <w:vertAlign w:val="superscript"/>
        </w:rPr>
        <w:t>3+</w:t>
      </w:r>
      <w:r>
        <w:t xml:space="preserve"> cannot be measured because this ion oxidizes water, but complexes of Co</w:t>
      </w:r>
      <w:r>
        <w:rPr>
          <w:vertAlign w:val="superscript"/>
        </w:rPr>
        <w:t>3+</w:t>
      </w:r>
      <w:r>
        <w:t xml:space="preserve"> (such as [Co(</w:t>
      </w:r>
      <w:proofErr w:type="spellStart"/>
      <w:r>
        <w:t>en</w:t>
      </w:r>
      <w:proofErr w:type="spellEnd"/>
      <w:r>
        <w:t>)</w:t>
      </w:r>
      <w:r>
        <w:rPr>
          <w:vertAlign w:val="subscript"/>
        </w:rPr>
        <w:t>3</w:t>
      </w:r>
      <w:r>
        <w:t>]</w:t>
      </w:r>
      <w:r>
        <w:rPr>
          <w:vertAlign w:val="superscript"/>
        </w:rPr>
        <w:t>3+</w:t>
      </w:r>
      <w:r>
        <w:t xml:space="preserve"> or [Co(NH</w:t>
      </w:r>
      <w:r>
        <w:rPr>
          <w:vertAlign w:val="subscript"/>
        </w:rPr>
        <w:t>3</w:t>
      </w:r>
      <w:r>
        <w:t>)</w:t>
      </w:r>
      <w:r>
        <w:rPr>
          <w:vertAlign w:val="subscript"/>
        </w:rPr>
        <w:t>6</w:t>
      </w:r>
      <w:r>
        <w:t>]</w:t>
      </w:r>
      <w:r>
        <w:rPr>
          <w:vertAlign w:val="superscript"/>
        </w:rPr>
        <w:t>3+</w:t>
      </w:r>
      <w:r>
        <w:t>) are inert while their corresponding Co</w:t>
      </w:r>
      <w:r>
        <w:rPr>
          <w:vertAlign w:val="superscript"/>
        </w:rPr>
        <w:t>2+</w:t>
      </w:r>
      <w:r>
        <w:t xml:space="preserve"> counterparts are labile.</w:t>
      </w:r>
      <w:r w:rsidR="004D0E84">
        <w:rPr>
          <w:vertAlign w:val="superscript"/>
        </w:rPr>
        <w:t>4</w:t>
      </w:r>
    </w:p>
    <w:p w14:paraId="0A9242B6" w14:textId="77777777" w:rsidR="005D574C" w:rsidRDefault="005D574C" w:rsidP="00436139"/>
    <w:p w14:paraId="1CA08ABF" w14:textId="4746739B" w:rsidR="000A2FC8" w:rsidRDefault="000A2FC8" w:rsidP="00436139">
      <w:r>
        <w:t>Procedure:</w:t>
      </w:r>
    </w:p>
    <w:p w14:paraId="78D67D93" w14:textId="50560369" w:rsidR="00BE347E" w:rsidRDefault="00BE347E" w:rsidP="00436139">
      <w:r>
        <w:t xml:space="preserve">The first step in determining the </w:t>
      </w:r>
      <w:r w:rsidR="000A2FC8">
        <w:t>CFAE is to determine the crystal field stabilization energy for the octahedral complex and the corresponding square pyramidal complex. For the purposes of this exercise we are assuming that the mechanism is dissociative.</w:t>
      </w:r>
      <w:r w:rsidR="00795969">
        <w:t xml:space="preserve"> Tabulated orbital energies as a function of geometry are readily available in most textbooks</w:t>
      </w:r>
      <w:r w:rsidR="000A7DF3">
        <w:t>; for consistency in calculations, values are repeated here</w:t>
      </w:r>
      <w:r w:rsidR="00C437AF">
        <w:t xml:space="preserve"> in units of ∆</w:t>
      </w:r>
      <w:r w:rsidR="00C437AF">
        <w:rPr>
          <w:vertAlign w:val="subscript"/>
        </w:rPr>
        <w:t>o</w:t>
      </w:r>
      <w:r w:rsidR="000A7DF3">
        <w:t>.</w:t>
      </w:r>
      <w:r w:rsidR="004B0A9B">
        <w:t xml:space="preserve"> When considering changes in geometry, do not change the spin state of the complex. </w:t>
      </w:r>
    </w:p>
    <w:tbl>
      <w:tblPr>
        <w:tblStyle w:val="TableGrid"/>
        <w:tblW w:w="0" w:type="auto"/>
        <w:jc w:val="center"/>
        <w:tblLook w:val="04A0" w:firstRow="1" w:lastRow="0" w:firstColumn="1" w:lastColumn="0" w:noHBand="0" w:noVBand="1"/>
      </w:tblPr>
      <w:tblGrid>
        <w:gridCol w:w="858"/>
        <w:gridCol w:w="594"/>
        <w:gridCol w:w="837"/>
      </w:tblGrid>
      <w:tr w:rsidR="00C437AF" w:rsidRPr="00C437AF" w14:paraId="561E8655" w14:textId="77777777" w:rsidTr="00A15D87">
        <w:trPr>
          <w:jc w:val="center"/>
        </w:trPr>
        <w:tc>
          <w:tcPr>
            <w:tcW w:w="0" w:type="auto"/>
          </w:tcPr>
          <w:p w14:paraId="136B8814" w14:textId="77777777" w:rsidR="00C437AF" w:rsidRPr="00C437AF" w:rsidRDefault="00C437AF" w:rsidP="00A15D87">
            <w:pPr>
              <w:jc w:val="center"/>
            </w:pPr>
            <w:r w:rsidRPr="00C437AF">
              <w:t>orbital</w:t>
            </w:r>
          </w:p>
        </w:tc>
        <w:tc>
          <w:tcPr>
            <w:tcW w:w="0" w:type="auto"/>
          </w:tcPr>
          <w:p w14:paraId="1F503498" w14:textId="77777777" w:rsidR="00C437AF" w:rsidRPr="00C437AF" w:rsidRDefault="00C437AF" w:rsidP="00AB4A2F">
            <w:r w:rsidRPr="00C437AF">
              <w:t>O</w:t>
            </w:r>
            <w:r w:rsidRPr="00C437AF">
              <w:rPr>
                <w:vertAlign w:val="subscript"/>
              </w:rPr>
              <w:t>h</w:t>
            </w:r>
          </w:p>
        </w:tc>
        <w:tc>
          <w:tcPr>
            <w:tcW w:w="0" w:type="auto"/>
          </w:tcPr>
          <w:p w14:paraId="62FE7013" w14:textId="77777777" w:rsidR="00C437AF" w:rsidRPr="00C437AF" w:rsidRDefault="00C437AF" w:rsidP="00AB4A2F">
            <w:r w:rsidRPr="00C437AF">
              <w:t xml:space="preserve">Sq </w:t>
            </w:r>
            <w:proofErr w:type="spellStart"/>
            <w:r w:rsidRPr="00C437AF">
              <w:t>Pyr</w:t>
            </w:r>
            <w:proofErr w:type="spellEnd"/>
          </w:p>
        </w:tc>
      </w:tr>
      <w:tr w:rsidR="00C437AF" w:rsidRPr="00C437AF" w14:paraId="7C0CFA16" w14:textId="77777777" w:rsidTr="00A15D87">
        <w:trPr>
          <w:jc w:val="center"/>
        </w:trPr>
        <w:tc>
          <w:tcPr>
            <w:tcW w:w="0" w:type="auto"/>
          </w:tcPr>
          <w:p w14:paraId="6C144743" w14:textId="77777777" w:rsidR="00C437AF" w:rsidRPr="00C437AF" w:rsidRDefault="00C437AF" w:rsidP="00A15D87">
            <w:pPr>
              <w:jc w:val="center"/>
            </w:pPr>
            <w:r w:rsidRPr="00C437AF">
              <w:t>d</w:t>
            </w:r>
            <w:r w:rsidRPr="00C437AF">
              <w:rPr>
                <w:vertAlign w:val="subscript"/>
              </w:rPr>
              <w:t>xz</w:t>
            </w:r>
          </w:p>
        </w:tc>
        <w:tc>
          <w:tcPr>
            <w:tcW w:w="0" w:type="auto"/>
          </w:tcPr>
          <w:p w14:paraId="60FED41E" w14:textId="77777777" w:rsidR="00C437AF" w:rsidRPr="00C437AF" w:rsidRDefault="00C437AF" w:rsidP="00AB4A2F">
            <w:r w:rsidRPr="00C437AF">
              <w:t>-0.4</w:t>
            </w:r>
          </w:p>
        </w:tc>
        <w:tc>
          <w:tcPr>
            <w:tcW w:w="0" w:type="auto"/>
          </w:tcPr>
          <w:p w14:paraId="2B1C69A0" w14:textId="77777777" w:rsidR="00C437AF" w:rsidRPr="00C437AF" w:rsidRDefault="00C437AF" w:rsidP="00AB4A2F">
            <w:r w:rsidRPr="00C437AF">
              <w:t>-0.457</w:t>
            </w:r>
          </w:p>
        </w:tc>
      </w:tr>
      <w:tr w:rsidR="00C437AF" w:rsidRPr="00C437AF" w14:paraId="3329F9C7" w14:textId="77777777" w:rsidTr="00A15D87">
        <w:trPr>
          <w:jc w:val="center"/>
        </w:trPr>
        <w:tc>
          <w:tcPr>
            <w:tcW w:w="0" w:type="auto"/>
          </w:tcPr>
          <w:p w14:paraId="18E30B77" w14:textId="77777777" w:rsidR="00C437AF" w:rsidRPr="00C437AF" w:rsidRDefault="00C437AF" w:rsidP="00A15D87">
            <w:pPr>
              <w:jc w:val="center"/>
            </w:pPr>
            <w:r w:rsidRPr="00C437AF">
              <w:t>d</w:t>
            </w:r>
            <w:r w:rsidRPr="00C437AF">
              <w:rPr>
                <w:vertAlign w:val="subscript"/>
              </w:rPr>
              <w:t>yz</w:t>
            </w:r>
          </w:p>
        </w:tc>
        <w:tc>
          <w:tcPr>
            <w:tcW w:w="0" w:type="auto"/>
          </w:tcPr>
          <w:p w14:paraId="593B963E" w14:textId="77777777" w:rsidR="00C437AF" w:rsidRPr="00C437AF" w:rsidRDefault="00C437AF" w:rsidP="00AB4A2F">
            <w:r w:rsidRPr="00C437AF">
              <w:t>-0.4</w:t>
            </w:r>
          </w:p>
        </w:tc>
        <w:tc>
          <w:tcPr>
            <w:tcW w:w="0" w:type="auto"/>
          </w:tcPr>
          <w:p w14:paraId="5DFFA356" w14:textId="77777777" w:rsidR="00C437AF" w:rsidRPr="00C437AF" w:rsidRDefault="00C437AF" w:rsidP="00AB4A2F">
            <w:r w:rsidRPr="00C437AF">
              <w:t>-0.457</w:t>
            </w:r>
          </w:p>
        </w:tc>
      </w:tr>
      <w:tr w:rsidR="00C437AF" w:rsidRPr="00C437AF" w14:paraId="43ABD6C2" w14:textId="77777777" w:rsidTr="00A15D87">
        <w:trPr>
          <w:jc w:val="center"/>
        </w:trPr>
        <w:tc>
          <w:tcPr>
            <w:tcW w:w="0" w:type="auto"/>
          </w:tcPr>
          <w:p w14:paraId="6C601178" w14:textId="77777777" w:rsidR="00C437AF" w:rsidRPr="00C437AF" w:rsidRDefault="00C437AF" w:rsidP="00A15D87">
            <w:pPr>
              <w:jc w:val="center"/>
            </w:pPr>
            <w:r w:rsidRPr="00C437AF">
              <w:t>d</w:t>
            </w:r>
            <w:r w:rsidRPr="00C437AF">
              <w:rPr>
                <w:vertAlign w:val="subscript"/>
              </w:rPr>
              <w:t>xy</w:t>
            </w:r>
          </w:p>
        </w:tc>
        <w:tc>
          <w:tcPr>
            <w:tcW w:w="0" w:type="auto"/>
          </w:tcPr>
          <w:p w14:paraId="3C8B220E" w14:textId="77777777" w:rsidR="00C437AF" w:rsidRPr="00C437AF" w:rsidRDefault="00C437AF" w:rsidP="00AB4A2F">
            <w:r w:rsidRPr="00C437AF">
              <w:t>-0.4</w:t>
            </w:r>
          </w:p>
        </w:tc>
        <w:tc>
          <w:tcPr>
            <w:tcW w:w="0" w:type="auto"/>
          </w:tcPr>
          <w:p w14:paraId="40A6377F" w14:textId="77777777" w:rsidR="00C437AF" w:rsidRPr="00C437AF" w:rsidRDefault="00C437AF" w:rsidP="00AB4A2F">
            <w:r w:rsidRPr="00C437AF">
              <w:t>-0.086</w:t>
            </w:r>
          </w:p>
        </w:tc>
      </w:tr>
      <w:tr w:rsidR="00C437AF" w:rsidRPr="00C437AF" w14:paraId="6BA6792C" w14:textId="77777777" w:rsidTr="00A15D87">
        <w:trPr>
          <w:jc w:val="center"/>
        </w:trPr>
        <w:tc>
          <w:tcPr>
            <w:tcW w:w="0" w:type="auto"/>
          </w:tcPr>
          <w:p w14:paraId="325A9F3A" w14:textId="77777777" w:rsidR="00C437AF" w:rsidRPr="00C437AF" w:rsidRDefault="00C437AF" w:rsidP="00A15D87">
            <w:pPr>
              <w:jc w:val="center"/>
            </w:pPr>
            <w:r w:rsidRPr="00C437AF">
              <w:t>d</w:t>
            </w:r>
            <w:r w:rsidRPr="00C437AF">
              <w:rPr>
                <w:vertAlign w:val="subscript"/>
              </w:rPr>
              <w:t>z2</w:t>
            </w:r>
          </w:p>
        </w:tc>
        <w:tc>
          <w:tcPr>
            <w:tcW w:w="0" w:type="auto"/>
          </w:tcPr>
          <w:p w14:paraId="599B4A3D" w14:textId="77777777" w:rsidR="00C437AF" w:rsidRPr="00C437AF" w:rsidRDefault="00C437AF" w:rsidP="00AB4A2F">
            <w:r w:rsidRPr="00C437AF">
              <w:t>0.6</w:t>
            </w:r>
          </w:p>
        </w:tc>
        <w:tc>
          <w:tcPr>
            <w:tcW w:w="0" w:type="auto"/>
          </w:tcPr>
          <w:p w14:paraId="357BDBA8" w14:textId="77777777" w:rsidR="00C437AF" w:rsidRPr="00C437AF" w:rsidRDefault="00C437AF" w:rsidP="00AB4A2F">
            <w:r w:rsidRPr="00C437AF">
              <w:t>0.086</w:t>
            </w:r>
          </w:p>
        </w:tc>
      </w:tr>
      <w:tr w:rsidR="00C437AF" w:rsidRPr="00C437AF" w14:paraId="20A87632" w14:textId="77777777" w:rsidTr="00A15D87">
        <w:trPr>
          <w:jc w:val="center"/>
        </w:trPr>
        <w:tc>
          <w:tcPr>
            <w:tcW w:w="0" w:type="auto"/>
          </w:tcPr>
          <w:p w14:paraId="6C836F37" w14:textId="77777777" w:rsidR="00C437AF" w:rsidRPr="00C437AF" w:rsidRDefault="00C437AF" w:rsidP="00A15D87">
            <w:pPr>
              <w:jc w:val="center"/>
            </w:pPr>
            <w:r w:rsidRPr="00C437AF">
              <w:t>d</w:t>
            </w:r>
            <w:r w:rsidRPr="00C437AF">
              <w:rPr>
                <w:vertAlign w:val="subscript"/>
              </w:rPr>
              <w:t>x2-y2</w:t>
            </w:r>
          </w:p>
        </w:tc>
        <w:tc>
          <w:tcPr>
            <w:tcW w:w="0" w:type="auto"/>
          </w:tcPr>
          <w:p w14:paraId="094E6FEB" w14:textId="77777777" w:rsidR="00C437AF" w:rsidRPr="00C437AF" w:rsidRDefault="00C437AF" w:rsidP="00AB4A2F">
            <w:r w:rsidRPr="00C437AF">
              <w:t>0.6</w:t>
            </w:r>
          </w:p>
        </w:tc>
        <w:tc>
          <w:tcPr>
            <w:tcW w:w="0" w:type="auto"/>
          </w:tcPr>
          <w:p w14:paraId="2128433E" w14:textId="77777777" w:rsidR="00C437AF" w:rsidRPr="00C437AF" w:rsidRDefault="00C437AF" w:rsidP="00AB4A2F">
            <w:r w:rsidRPr="00C437AF">
              <w:t>0.914</w:t>
            </w:r>
          </w:p>
        </w:tc>
      </w:tr>
    </w:tbl>
    <w:p w14:paraId="7F99876F" w14:textId="32E4F9C5" w:rsidR="00C437AF" w:rsidRDefault="00C437AF" w:rsidP="00436139">
      <w:r>
        <w:t xml:space="preserve">1) calculate the CFSE for </w:t>
      </w:r>
      <w:r w:rsidR="007F3ADA">
        <w:t>both O</w:t>
      </w:r>
      <w:r w:rsidR="007F3ADA">
        <w:rPr>
          <w:vertAlign w:val="subscript"/>
        </w:rPr>
        <w:t>h</w:t>
      </w:r>
      <w:r w:rsidR="007F3ADA">
        <w:t xml:space="preserve"> and square pyramidal for the following ions</w:t>
      </w:r>
      <w:r w:rsidR="00E20238">
        <w:t xml:space="preserve"> (</w:t>
      </w:r>
      <w:r w:rsidR="00E20238">
        <w:rPr>
          <w:b/>
          <w:bCs/>
        </w:rPr>
        <w:t>bolded</w:t>
      </w:r>
      <w:r w:rsidR="00E20238">
        <w:t xml:space="preserve"> in the tables </w:t>
      </w:r>
      <w:r w:rsidR="00A15D87">
        <w:t>on the previous page</w:t>
      </w:r>
      <w:r w:rsidR="00E20238">
        <w:t>)</w:t>
      </w:r>
      <w:r w:rsidR="004B0A9B">
        <w:t xml:space="preserve"> in units of ∆</w:t>
      </w:r>
      <w:r w:rsidR="004B0A9B">
        <w:rPr>
          <w:vertAlign w:val="subscript"/>
        </w:rPr>
        <w:t>o</w:t>
      </w:r>
      <w:r w:rsidR="007F3ADA">
        <w:t>:</w:t>
      </w:r>
    </w:p>
    <w:p w14:paraId="4C87DF58" w14:textId="5E79EF5D" w:rsidR="007F3ADA" w:rsidRDefault="007F3ADA" w:rsidP="00436139">
      <w:pPr>
        <w:rPr>
          <w:color w:val="FF0000"/>
          <w:vertAlign w:val="subscript"/>
        </w:rPr>
      </w:pPr>
      <w:r>
        <w:t>a) Co(II)</w:t>
      </w:r>
      <w:r w:rsidR="00D8697F">
        <w:t xml:space="preserve"> (low spin)</w:t>
      </w:r>
      <w:r w:rsidR="00B4530A">
        <w:tab/>
      </w:r>
      <w:r w:rsidR="00B4530A">
        <w:tab/>
      </w:r>
    </w:p>
    <w:p w14:paraId="0CE103D4" w14:textId="77777777" w:rsidR="00A15D87" w:rsidRPr="00B4530A" w:rsidRDefault="00A15D87" w:rsidP="00436139">
      <w:pPr>
        <w:rPr>
          <w:color w:val="FF0000"/>
        </w:rPr>
      </w:pPr>
    </w:p>
    <w:p w14:paraId="12392635" w14:textId="42ADE518" w:rsidR="007F3ADA" w:rsidRPr="00F67B85" w:rsidRDefault="007F3ADA" w:rsidP="00436139">
      <w:pPr>
        <w:rPr>
          <w:color w:val="FF0000"/>
        </w:rPr>
      </w:pPr>
      <w:r>
        <w:t xml:space="preserve">b) </w:t>
      </w:r>
      <w:r w:rsidR="004B0A9B">
        <w:t>Co(III) (low spin)</w:t>
      </w:r>
      <w:r w:rsidR="00B4530A">
        <w:tab/>
      </w:r>
    </w:p>
    <w:p w14:paraId="0AF71D99" w14:textId="77777777" w:rsidR="00A15D87" w:rsidRDefault="00A15D87" w:rsidP="00436139"/>
    <w:p w14:paraId="7FD28274" w14:textId="243AA8CE" w:rsidR="007F3ADA" w:rsidRPr="00F67B85" w:rsidRDefault="007F3ADA" w:rsidP="00436139">
      <w:pPr>
        <w:rPr>
          <w:color w:val="FF0000"/>
          <w:vertAlign w:val="subscript"/>
        </w:rPr>
      </w:pPr>
      <w:r>
        <w:t>c) Cr(III)</w:t>
      </w:r>
      <w:r w:rsidR="00F67B85">
        <w:tab/>
      </w:r>
      <w:r w:rsidR="00F67B85">
        <w:tab/>
      </w:r>
    </w:p>
    <w:p w14:paraId="719464C3" w14:textId="77777777" w:rsidR="00A15D87" w:rsidRDefault="00A15D87" w:rsidP="00436139"/>
    <w:p w14:paraId="5157BC2C" w14:textId="340B674D" w:rsidR="007F3ADA" w:rsidRPr="00F67B85" w:rsidRDefault="007F3ADA" w:rsidP="00436139">
      <w:pPr>
        <w:rPr>
          <w:color w:val="FF0000"/>
          <w:vertAlign w:val="subscript"/>
        </w:rPr>
      </w:pPr>
      <w:r>
        <w:t xml:space="preserve">d) </w:t>
      </w:r>
      <w:r w:rsidR="004B0A9B">
        <w:t>Mn(III)</w:t>
      </w:r>
      <w:r w:rsidR="00F67B85">
        <w:tab/>
      </w:r>
      <w:r w:rsidR="00F67B85">
        <w:tab/>
      </w:r>
    </w:p>
    <w:p w14:paraId="2FF237BB" w14:textId="77777777" w:rsidR="000A2FC8" w:rsidRDefault="000A2FC8" w:rsidP="00436139"/>
    <w:p w14:paraId="03C36979" w14:textId="0CD09D22" w:rsidR="004B0A9B" w:rsidRDefault="004B0A9B" w:rsidP="004B0A9B">
      <w:r>
        <w:t>The ∆CFSE is the change in crystal field stabilization energy upon undergoing a geometry change. For the purposes of ligand substitution, the geometry change is accompanied by the loss of a ligand.</w:t>
      </w:r>
    </w:p>
    <w:p w14:paraId="1A82133F" w14:textId="77777777" w:rsidR="004B0A9B" w:rsidRDefault="004B0A9B" w:rsidP="00436139"/>
    <w:p w14:paraId="58438685" w14:textId="33CE1017" w:rsidR="00BE347E" w:rsidRPr="004B0A9B" w:rsidRDefault="004B0A9B" w:rsidP="00436139">
      <w:r>
        <w:t xml:space="preserve">2) Calculate the ∆CFSE </w:t>
      </w:r>
      <w:r w:rsidR="00627CD4">
        <w:t>(∆</w:t>
      </w:r>
      <w:r w:rsidR="00627CD4">
        <w:rPr>
          <w:vertAlign w:val="subscript"/>
        </w:rPr>
        <w:t>o</w:t>
      </w:r>
      <w:r w:rsidR="00627CD4">
        <w:t xml:space="preserve"> Sq </w:t>
      </w:r>
      <w:proofErr w:type="spellStart"/>
      <w:r w:rsidR="00627CD4">
        <w:t>Pyr</w:t>
      </w:r>
      <w:proofErr w:type="spellEnd"/>
      <w:r w:rsidR="00627CD4">
        <w:t xml:space="preserve"> - ∆</w:t>
      </w:r>
      <w:r w:rsidR="00627CD4">
        <w:rPr>
          <w:vertAlign w:val="subscript"/>
        </w:rPr>
        <w:t>o</w:t>
      </w:r>
      <w:r w:rsidR="00627CD4">
        <w:t xml:space="preserve"> O</w:t>
      </w:r>
      <w:r w:rsidR="00627CD4">
        <w:rPr>
          <w:vertAlign w:val="subscript"/>
        </w:rPr>
        <w:t>h</w:t>
      </w:r>
      <w:r w:rsidR="00627CD4">
        <w:t xml:space="preserve">) </w:t>
      </w:r>
      <w:r>
        <w:t>for the geometry change for the following ions in units of ∆</w:t>
      </w:r>
      <w:r>
        <w:rPr>
          <w:vertAlign w:val="subscript"/>
        </w:rPr>
        <w:t>o</w:t>
      </w:r>
      <w:r w:rsidR="000C115D">
        <w:rPr>
          <w:vertAlign w:val="subscript"/>
        </w:rPr>
        <w:t xml:space="preserve">, </w:t>
      </w:r>
      <w:r w:rsidR="000C115D">
        <w:t>consider both water and cyano ligand exchange where possible</w:t>
      </w:r>
      <w:r>
        <w:t>:</w:t>
      </w:r>
    </w:p>
    <w:p w14:paraId="18545BB8" w14:textId="3486B8B5" w:rsidR="004B0A9B" w:rsidRPr="00627CD4" w:rsidRDefault="004B0A9B" w:rsidP="004B0A9B">
      <w:pPr>
        <w:rPr>
          <w:color w:val="FF0000"/>
        </w:rPr>
      </w:pPr>
      <w:r>
        <w:t>a) Co(II)</w:t>
      </w:r>
      <w:r w:rsidR="002B2184">
        <w:tab/>
      </w:r>
      <w:r w:rsidR="002B2184">
        <w:tab/>
      </w:r>
    </w:p>
    <w:p w14:paraId="15908C67" w14:textId="77777777" w:rsidR="00A15D87" w:rsidRDefault="00A15D87" w:rsidP="004B0A9B"/>
    <w:p w14:paraId="16E159D9" w14:textId="77777777" w:rsidR="005D1A1C" w:rsidRDefault="004B0A9B" w:rsidP="004B0A9B">
      <w:pPr>
        <w:rPr>
          <w:color w:val="FF0000"/>
        </w:rPr>
      </w:pPr>
      <w:r>
        <w:t>b) Co(III) (low spin)</w:t>
      </w:r>
      <w:r w:rsidR="00627CD4">
        <w:tab/>
      </w:r>
    </w:p>
    <w:p w14:paraId="7193122A" w14:textId="77777777" w:rsidR="005D1A1C" w:rsidRDefault="005D1A1C" w:rsidP="004B0A9B">
      <w:pPr>
        <w:rPr>
          <w:color w:val="FF0000"/>
        </w:rPr>
      </w:pPr>
    </w:p>
    <w:p w14:paraId="389B469F" w14:textId="77777777" w:rsidR="005D1A1C" w:rsidRDefault="004B0A9B">
      <w:pPr>
        <w:rPr>
          <w:color w:val="FF0000"/>
        </w:rPr>
      </w:pPr>
      <w:r>
        <w:t>c) Cr(III)</w:t>
      </w:r>
      <w:r w:rsidR="00627CD4">
        <w:tab/>
      </w:r>
      <w:r w:rsidR="00627CD4">
        <w:tab/>
      </w:r>
    </w:p>
    <w:p w14:paraId="34305D7C" w14:textId="77777777" w:rsidR="005D1A1C" w:rsidRDefault="005D1A1C">
      <w:pPr>
        <w:rPr>
          <w:color w:val="FF0000"/>
        </w:rPr>
      </w:pPr>
    </w:p>
    <w:p w14:paraId="2F84311D" w14:textId="3E7F3557" w:rsidR="00627CD4" w:rsidRDefault="004B0A9B">
      <w:r>
        <w:t>d) Mn(III)</w:t>
      </w:r>
      <w:r w:rsidR="009C4E93">
        <w:t xml:space="preserve"> (low spin)</w:t>
      </w:r>
      <w:r w:rsidR="00627CD4">
        <w:tab/>
      </w:r>
      <w:r w:rsidR="00627CD4">
        <w:br w:type="page"/>
      </w:r>
    </w:p>
    <w:p w14:paraId="1CC1312A" w14:textId="0E4D459D" w:rsidR="004B0A9B" w:rsidRDefault="009C4E93" w:rsidP="004B0A9B">
      <w:r>
        <w:lastRenderedPageBreak/>
        <w:t xml:space="preserve">3) rank order the four ions in terms of relative ∆CFSE from </w:t>
      </w:r>
      <w:r w:rsidR="00627CD4">
        <w:t>most positive</w:t>
      </w:r>
      <w:r>
        <w:t xml:space="preserve"> to </w:t>
      </w:r>
      <w:r w:rsidR="00627CD4">
        <w:t>most negative</w:t>
      </w:r>
      <w:r>
        <w:t>. Does this order relate to the rate of ligand exchange in the above tables?</w:t>
      </w:r>
    </w:p>
    <w:p w14:paraId="4FFCF4D2" w14:textId="77777777" w:rsidR="005D1A1C" w:rsidRDefault="005D1A1C" w:rsidP="004B0A9B">
      <w:pPr>
        <w:rPr>
          <w:color w:val="FF0000"/>
        </w:rPr>
      </w:pPr>
    </w:p>
    <w:p w14:paraId="2A30A97A" w14:textId="77777777" w:rsidR="005D1A1C" w:rsidRDefault="005D1A1C" w:rsidP="004B0A9B">
      <w:pPr>
        <w:rPr>
          <w:color w:val="FF0000"/>
        </w:rPr>
      </w:pPr>
    </w:p>
    <w:p w14:paraId="0A63520B" w14:textId="27E28357" w:rsidR="009C4E93" w:rsidRDefault="009C4E93" w:rsidP="004B0A9B">
      <w:pPr>
        <w:rPr>
          <w:color w:val="FF0000"/>
        </w:rPr>
      </w:pPr>
    </w:p>
    <w:p w14:paraId="37D5682A" w14:textId="77777777" w:rsidR="005D1A1C" w:rsidRDefault="005D1A1C" w:rsidP="004B0A9B"/>
    <w:p w14:paraId="25BE7DF1" w14:textId="77777777" w:rsidR="00A15D87" w:rsidRDefault="00A15D87" w:rsidP="004B0A9B"/>
    <w:p w14:paraId="481551C0" w14:textId="1044D6B7" w:rsidR="00A15D87" w:rsidRDefault="00A15D87" w:rsidP="004B0A9B"/>
    <w:p w14:paraId="3BEDED3E" w14:textId="31B3374B" w:rsidR="00A15D87" w:rsidRDefault="00A15D87" w:rsidP="004B0A9B"/>
    <w:p w14:paraId="435D14EF" w14:textId="77777777" w:rsidR="00A15D87" w:rsidRDefault="00A15D87" w:rsidP="004B0A9B"/>
    <w:p w14:paraId="38953BB3" w14:textId="64F8E2BF" w:rsidR="009C4E93" w:rsidRDefault="009C4E93" w:rsidP="004B0A9B">
      <w:r>
        <w:t xml:space="preserve">The ∆CFSE is just one factor in the rate of a reaction. For ligand dissociation reactions, a much larger term is the </w:t>
      </w:r>
      <w:r>
        <w:rPr>
          <w:i/>
          <w:iCs/>
        </w:rPr>
        <w:t>bond breaking</w:t>
      </w:r>
      <w:r>
        <w:t xml:space="preserve"> that must occur to reach the intermediate geometry. Average metal ligand bond strengths can be measured or calculated</w:t>
      </w:r>
      <w:r w:rsidR="001C0B3E">
        <w:t xml:space="preserve"> using a Born-Haber cycle</w:t>
      </w:r>
      <w:r>
        <w:t xml:space="preserve">. </w:t>
      </w:r>
      <w:r w:rsidR="0037227D">
        <w:t>A typical M-NH</w:t>
      </w:r>
      <w:r w:rsidR="0037227D">
        <w:rPr>
          <w:vertAlign w:val="subscript"/>
        </w:rPr>
        <w:t>3</w:t>
      </w:r>
      <w:r w:rsidR="0037227D">
        <w:t xml:space="preserve"> bond strength</w:t>
      </w:r>
      <w:r w:rsidR="001C0B3E">
        <w:t xml:space="preserve"> for a first row divalent transition metal ion</w:t>
      </w:r>
      <w:r w:rsidR="0037227D">
        <w:t xml:space="preserve"> is 60-70 kcal/mol.</w:t>
      </w:r>
      <w:r w:rsidR="0037227D">
        <w:rPr>
          <w:vertAlign w:val="superscript"/>
        </w:rPr>
        <w:t>5</w:t>
      </w:r>
      <w:r w:rsidR="0037227D">
        <w:t xml:space="preserve"> </w:t>
      </w:r>
      <w:r w:rsidR="0039416A">
        <w:t>The variability in these number</w:t>
      </w:r>
      <w:r w:rsidR="00A15D87">
        <w:t>s</w:t>
      </w:r>
      <w:r w:rsidR="0039416A">
        <w:t xml:space="preserve"> is large but it is not unreasonable to assume that a M-OH</w:t>
      </w:r>
      <w:r w:rsidR="0039416A">
        <w:rPr>
          <w:vertAlign w:val="subscript"/>
        </w:rPr>
        <w:t>2</w:t>
      </w:r>
      <w:r w:rsidR="0039416A">
        <w:t xml:space="preserve"> bond strength is similar.</w:t>
      </w:r>
      <w:r w:rsidR="001C0B3E">
        <w:t xml:space="preserve"> Bonus points to a student who can find a good, referenced value for </w:t>
      </w:r>
      <w:r w:rsidR="0076206F">
        <w:t>the bond strength of a transition element and water.</w:t>
      </w:r>
    </w:p>
    <w:p w14:paraId="395C7EA2" w14:textId="2C72DADA" w:rsidR="0076206F" w:rsidRDefault="0076206F" w:rsidP="004B0A9B"/>
    <w:p w14:paraId="4D42BA68" w14:textId="4D6486CA" w:rsidR="0076206F" w:rsidRDefault="0076206F" w:rsidP="004B0A9B">
      <w:r>
        <w:t xml:space="preserve">The rate </w:t>
      </w:r>
      <w:r w:rsidR="00E20238">
        <w:t xml:space="preserve">constant </w:t>
      </w:r>
      <w:r w:rsidR="00E20238" w:rsidRPr="00E20238">
        <w:rPr>
          <w:i/>
          <w:iCs/>
        </w:rPr>
        <w:t>k</w:t>
      </w:r>
      <w:r w:rsidR="00E20238">
        <w:t xml:space="preserve"> </w:t>
      </w:r>
      <w:r>
        <w:t xml:space="preserve">of a chemical reaction is proportional to its </w:t>
      </w:r>
      <w:r w:rsidR="00A15D87">
        <w:t xml:space="preserve">activation </w:t>
      </w:r>
      <w:r>
        <w:t xml:space="preserve">energy by the </w:t>
      </w:r>
      <w:r w:rsidR="00E3319F">
        <w:t xml:space="preserve">Eyring </w:t>
      </w:r>
      <w:r>
        <w:t>equation:</w:t>
      </w:r>
    </w:p>
    <w:p w14:paraId="09406445" w14:textId="3D792A98" w:rsidR="0076206F" w:rsidRPr="00A15D87" w:rsidRDefault="00E20238" w:rsidP="0076206F">
      <w:pPr>
        <w:jc w:val="center"/>
        <w:rPr>
          <w:rFonts w:eastAsiaTheme="minorEastAsia"/>
          <w:vertAlign w:val="superscript"/>
        </w:rPr>
      </w:pPr>
      <m:oMathPara>
        <m:oMath>
          <m:r>
            <w:rPr>
              <w:rFonts w:ascii="Cambria Math" w:hAnsi="Cambria Math"/>
              <w:vertAlign w:val="superscript"/>
            </w:rPr>
            <m:t>k=</m:t>
          </m:r>
          <m:d>
            <m:dPr>
              <m:ctrlPr>
                <w:rPr>
                  <w:rFonts w:ascii="Cambria Math" w:eastAsiaTheme="minorEastAsia" w:hAnsi="Cambria Math"/>
                  <w:i/>
                  <w:vertAlign w:val="superscript"/>
                </w:rPr>
              </m:ctrlPr>
            </m:dPr>
            <m:e>
              <m:f>
                <m:fPr>
                  <m:ctrlPr>
                    <w:rPr>
                      <w:rFonts w:ascii="Cambria Math" w:eastAsiaTheme="minorEastAsia" w:hAnsi="Cambria Math"/>
                      <w:i/>
                      <w:vertAlign w:val="superscript"/>
                    </w:rPr>
                  </m:ctrlPr>
                </m:fPr>
                <m:num>
                  <m:sSub>
                    <m:sSubPr>
                      <m:ctrlPr>
                        <w:rPr>
                          <w:rFonts w:ascii="Cambria Math" w:eastAsiaTheme="minorEastAsia" w:hAnsi="Cambria Math"/>
                          <w:i/>
                          <w:vertAlign w:val="superscript"/>
                        </w:rPr>
                      </m:ctrlPr>
                    </m:sSubPr>
                    <m:e>
                      <m:r>
                        <w:rPr>
                          <w:rFonts w:ascii="Cambria Math" w:eastAsiaTheme="minorEastAsia" w:hAnsi="Cambria Math"/>
                          <w:vertAlign w:val="superscript"/>
                        </w:rPr>
                        <m:t>k</m:t>
                      </m:r>
                    </m:e>
                    <m:sub>
                      <m:r>
                        <w:rPr>
                          <w:rFonts w:ascii="Cambria Math" w:eastAsiaTheme="minorEastAsia" w:hAnsi="Cambria Math"/>
                          <w:vertAlign w:val="superscript"/>
                        </w:rPr>
                        <m:t>B</m:t>
                      </m:r>
                    </m:sub>
                  </m:sSub>
                  <m:r>
                    <w:rPr>
                      <w:rFonts w:ascii="Cambria Math" w:eastAsiaTheme="minorEastAsia" w:hAnsi="Cambria Math"/>
                      <w:vertAlign w:val="superscript"/>
                    </w:rPr>
                    <m:t>T</m:t>
                  </m:r>
                </m:num>
                <m:den>
                  <m:r>
                    <w:rPr>
                      <w:rFonts w:ascii="Cambria Math" w:eastAsiaTheme="minorEastAsia" w:hAnsi="Cambria Math"/>
                      <w:vertAlign w:val="superscript"/>
                    </w:rPr>
                    <m:t>h</m:t>
                  </m:r>
                </m:den>
              </m:f>
            </m:e>
          </m:d>
          <m:sSup>
            <m:sSupPr>
              <m:ctrlPr>
                <w:rPr>
                  <w:rFonts w:ascii="Cambria Math" w:eastAsiaTheme="minorEastAsia" w:hAnsi="Cambria Math"/>
                  <w:i/>
                  <w:vertAlign w:val="superscript"/>
                </w:rPr>
              </m:ctrlPr>
            </m:sSupPr>
            <m:e>
              <m:r>
                <w:rPr>
                  <w:rFonts w:ascii="Cambria Math" w:eastAsiaTheme="minorEastAsia" w:hAnsi="Cambria Math"/>
                  <w:vertAlign w:val="superscript"/>
                </w:rPr>
                <m:t>e</m:t>
              </m:r>
            </m:e>
            <m:sup>
              <m:d>
                <m:dPr>
                  <m:ctrlPr>
                    <w:rPr>
                      <w:rFonts w:ascii="Cambria Math" w:eastAsiaTheme="minorEastAsia" w:hAnsi="Cambria Math"/>
                      <w:i/>
                      <w:vertAlign w:val="superscript"/>
                    </w:rPr>
                  </m:ctrlPr>
                </m:dPr>
                <m:e>
                  <m:r>
                    <w:rPr>
                      <w:rFonts w:ascii="Cambria Math" w:eastAsiaTheme="minorEastAsia" w:hAnsi="Cambria Math"/>
                      <w:vertAlign w:val="superscript"/>
                    </w:rPr>
                    <m:t>-∆</m:t>
                  </m:r>
                  <m:sSup>
                    <m:sSupPr>
                      <m:ctrlPr>
                        <w:rPr>
                          <w:rFonts w:ascii="Cambria Math" w:eastAsiaTheme="minorEastAsia" w:hAnsi="Cambria Math"/>
                          <w:i/>
                          <w:vertAlign w:val="superscript"/>
                        </w:rPr>
                      </m:ctrlPr>
                    </m:sSupPr>
                    <m:e>
                      <m:r>
                        <w:rPr>
                          <w:rFonts w:ascii="Cambria Math" w:eastAsiaTheme="minorEastAsia" w:hAnsi="Cambria Math"/>
                          <w:vertAlign w:val="superscript"/>
                        </w:rPr>
                        <m:t>G</m:t>
                      </m:r>
                    </m:e>
                    <m:sup>
                      <m:r>
                        <w:rPr>
                          <w:rFonts w:ascii="Cambria Math" w:eastAsiaTheme="minorEastAsia" w:hAnsi="Cambria Math"/>
                          <w:vertAlign w:val="superscript"/>
                        </w:rPr>
                        <m:t>‡</m:t>
                      </m:r>
                    </m:sup>
                  </m:sSup>
                  <m:r>
                    <w:rPr>
                      <w:rFonts w:ascii="Cambria Math" w:eastAsiaTheme="minorEastAsia" w:hAnsi="Cambria Math"/>
                      <w:vertAlign w:val="superscript"/>
                    </w:rPr>
                    <m:t>/RT</m:t>
                  </m:r>
                </m:e>
              </m:d>
            </m:sup>
          </m:sSup>
        </m:oMath>
      </m:oMathPara>
    </w:p>
    <w:p w14:paraId="6C63E54E" w14:textId="77777777" w:rsidR="00A15D87" w:rsidRPr="00E20238" w:rsidRDefault="00A15D87" w:rsidP="0076206F">
      <w:pPr>
        <w:jc w:val="center"/>
      </w:pPr>
    </w:p>
    <w:p w14:paraId="69355A21" w14:textId="417E1953" w:rsidR="0076206F" w:rsidRDefault="0076206F" w:rsidP="000C1C6A">
      <w:r>
        <w:t xml:space="preserve">Calculating a rate with </w:t>
      </w:r>
      <w:r w:rsidR="000C1C6A">
        <w:t xml:space="preserve">this equation would require knowing the </w:t>
      </w:r>
      <w:r w:rsidR="00E20238">
        <w:t>concentration</w:t>
      </w:r>
      <w:r w:rsidR="00A15D87">
        <w:t>s of the complexes and ligands</w:t>
      </w:r>
      <w:r w:rsidR="00E20238">
        <w:t>, which we can assume to be equal</w:t>
      </w:r>
      <w:r w:rsidR="00A15D87">
        <w:t xml:space="preserve"> across two experiments,</w:t>
      </w:r>
      <w:r w:rsidR="00E20238">
        <w:t xml:space="preserve"> so comparing the relative rate constants is the same as comparing the relative rates. The activation energy</w:t>
      </w:r>
      <w:r w:rsidR="000C1C6A">
        <w:t xml:space="preserve"> would be </w:t>
      </w:r>
      <w:r w:rsidR="00E20238">
        <w:t xml:space="preserve">(at a minimum) </w:t>
      </w:r>
      <w:r w:rsidR="000C1C6A">
        <w:t xml:space="preserve">approximately that of the M-L bond, or 60-70 kcal/mol </w:t>
      </w:r>
      <w:r w:rsidR="000C1C6A">
        <w:rPr>
          <w:i/>
          <w:iCs/>
        </w:rPr>
        <w:t>plus</w:t>
      </w:r>
      <w:r w:rsidR="000C1C6A">
        <w:t xml:space="preserve"> the small amount of additional energy for the ∆CFSE upon moving from the octahedral geometry to the square pyramidal geometry. </w:t>
      </w:r>
      <w:r w:rsidR="00E20238">
        <w:t>C</w:t>
      </w:r>
      <w:r w:rsidR="000C1C6A">
        <w:t xml:space="preserve">alculating the </w:t>
      </w:r>
      <w:r>
        <w:rPr>
          <w:i/>
          <w:iCs/>
        </w:rPr>
        <w:t>relative</w:t>
      </w:r>
      <w:r>
        <w:t xml:space="preserve"> rate </w:t>
      </w:r>
      <w:r w:rsidR="000C1C6A">
        <w:t xml:space="preserve">between two metal complexes </w:t>
      </w:r>
      <w:r w:rsidR="00E20238">
        <w:t>can be done by dividing terms, cancelling the constants</w:t>
      </w:r>
      <w:r w:rsidR="000C1C6A">
        <w:t>:</w:t>
      </w:r>
    </w:p>
    <w:p w14:paraId="1020B950" w14:textId="77777777" w:rsidR="00A15D87" w:rsidRDefault="00A15D87" w:rsidP="000C1C6A"/>
    <w:p w14:paraId="796D67E3" w14:textId="6277E6B3" w:rsidR="0076206F" w:rsidRPr="00A15D87" w:rsidRDefault="00000000" w:rsidP="0076206F">
      <w:pPr>
        <w:jc w:val="center"/>
        <w:rPr>
          <w:rFonts w:eastAsiaTheme="minorEastAsia"/>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1</m:t>
                  </m:r>
                </m:sub>
              </m:sSub>
            </m:num>
            <m:den>
              <m:sSub>
                <m:sSubPr>
                  <m:ctrlPr>
                    <w:rPr>
                      <w:rFonts w:ascii="Cambria Math" w:hAnsi="Cambria Math"/>
                      <w:i/>
                    </w:rPr>
                  </m:ctrlPr>
                </m:sSubPr>
                <m:e>
                  <m:r>
                    <w:rPr>
                      <w:rFonts w:ascii="Cambria Math" w:hAnsi="Cambria Math"/>
                    </w:rPr>
                    <m:t>k</m:t>
                  </m:r>
                </m:e>
                <m:sub>
                  <m:r>
                    <w:rPr>
                      <w:rFonts w:ascii="Cambria Math" w:hAnsi="Cambria Math"/>
                    </w:rPr>
                    <m:t>2</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1</m:t>
                      </m:r>
                    </m:sub>
                    <m:sup>
                      <m:r>
                        <w:rPr>
                          <w:rFonts w:ascii="Cambria Math" w:hAnsi="Cambria Math"/>
                        </w:rPr>
                        <m:t>‡</m:t>
                      </m:r>
                    </m:sup>
                  </m:sSubSup>
                  <m:r>
                    <w:rPr>
                      <w:rFonts w:ascii="Cambria Math" w:hAnsi="Cambria Math"/>
                    </w:rPr>
                    <m:t>/RT</m:t>
                  </m:r>
                </m:sup>
              </m:sSup>
            </m:num>
            <m:den>
              <m:sSup>
                <m:sSupPr>
                  <m:ctrlPr>
                    <w:rPr>
                      <w:rFonts w:ascii="Cambria Math" w:hAnsi="Cambria Math"/>
                      <w:i/>
                    </w:rPr>
                  </m:ctrlPr>
                </m:sSupPr>
                <m:e>
                  <m:r>
                    <w:rPr>
                      <w:rFonts w:ascii="Cambria Math" w:hAnsi="Cambria Math"/>
                    </w:rPr>
                    <m:t>e</m:t>
                  </m:r>
                </m:e>
                <m:sup>
                  <m:r>
                    <w:rPr>
                      <w:rFonts w:ascii="Cambria Math" w:hAnsi="Cambria Math"/>
                    </w:rPr>
                    <m:t>-∆</m:t>
                  </m:r>
                  <m:sSubSup>
                    <m:sSubSupPr>
                      <m:ctrlPr>
                        <w:rPr>
                          <w:rFonts w:ascii="Cambria Math" w:hAnsi="Cambria Math"/>
                          <w:i/>
                        </w:rPr>
                      </m:ctrlPr>
                    </m:sSubSupPr>
                    <m:e>
                      <m:r>
                        <w:rPr>
                          <w:rFonts w:ascii="Cambria Math" w:hAnsi="Cambria Math"/>
                        </w:rPr>
                        <m:t>G</m:t>
                      </m:r>
                    </m:e>
                    <m:sub>
                      <m:r>
                        <w:rPr>
                          <w:rFonts w:ascii="Cambria Math" w:hAnsi="Cambria Math"/>
                        </w:rPr>
                        <m:t>2</m:t>
                      </m:r>
                    </m:sub>
                    <m:sup>
                      <m:r>
                        <w:rPr>
                          <w:rFonts w:ascii="Cambria Math" w:hAnsi="Cambria Math"/>
                        </w:rPr>
                        <m:t>‡</m:t>
                      </m:r>
                    </m:sup>
                  </m:sSubSup>
                  <m:r>
                    <w:rPr>
                      <w:rFonts w:ascii="Cambria Math" w:hAnsi="Cambria Math"/>
                    </w:rPr>
                    <m:t>/RT</m:t>
                  </m:r>
                </m:sup>
              </m:sSup>
            </m:den>
          </m:f>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m:t>
                  </m:r>
                </m:sup>
              </m:sSup>
              <m:r>
                <w:rPr>
                  <w:rFonts w:ascii="Cambria Math" w:hAnsi="Cambria Math"/>
                </w:rPr>
                <m:t>/RT</m:t>
              </m:r>
            </m:sup>
          </m:sSup>
        </m:oMath>
      </m:oMathPara>
    </w:p>
    <w:p w14:paraId="749CC687" w14:textId="77777777" w:rsidR="00A15D87" w:rsidRPr="0076206F" w:rsidRDefault="00A15D87" w:rsidP="0076206F">
      <w:pPr>
        <w:jc w:val="center"/>
        <w:rPr>
          <w:rFonts w:eastAsiaTheme="minorEastAsia"/>
        </w:rPr>
      </w:pPr>
    </w:p>
    <w:p w14:paraId="09F04FB4" w14:textId="0B2DD0E9" w:rsidR="0076206F" w:rsidRPr="002A314C" w:rsidRDefault="0076206F" w:rsidP="0076206F">
      <w:r>
        <w:rPr>
          <w:rFonts w:eastAsiaTheme="minorEastAsia"/>
        </w:rPr>
        <w:t>The ∆∆G</w:t>
      </w:r>
      <w:r w:rsidR="00E20238" w:rsidRPr="00E20238">
        <w:rPr>
          <w:rFonts w:eastAsiaTheme="minorEastAsia"/>
          <w:vertAlign w:val="superscript"/>
        </w:rPr>
        <w:t>‡</w:t>
      </w:r>
      <w:r>
        <w:rPr>
          <w:rFonts w:eastAsiaTheme="minorEastAsia"/>
        </w:rPr>
        <w:t xml:space="preserve"> term can be approximated as the </w:t>
      </w:r>
      <w:r w:rsidR="00627CD4">
        <w:rPr>
          <w:rFonts w:eastAsiaTheme="minorEastAsia"/>
        </w:rPr>
        <w:t>∆</w:t>
      </w:r>
      <w:r>
        <w:rPr>
          <w:rFonts w:eastAsiaTheme="minorEastAsia"/>
        </w:rPr>
        <w:t>∆CFSE for the ligand substitution reaction.</w:t>
      </w:r>
      <w:r w:rsidR="005E064E">
        <w:rPr>
          <w:rFonts w:eastAsiaTheme="minorEastAsia"/>
        </w:rPr>
        <w:t xml:space="preserve"> When you calculated the ∆CFSE, you used units of ∆</w:t>
      </w:r>
      <w:r w:rsidR="005E064E">
        <w:rPr>
          <w:rFonts w:eastAsiaTheme="minorEastAsia"/>
          <w:vertAlign w:val="subscript"/>
        </w:rPr>
        <w:t>o</w:t>
      </w:r>
      <w:r w:rsidR="005E064E">
        <w:rPr>
          <w:rFonts w:eastAsiaTheme="minorEastAsia"/>
        </w:rPr>
        <w:t>. To convert ∆</w:t>
      </w:r>
      <w:r w:rsidR="005E064E">
        <w:rPr>
          <w:rFonts w:eastAsiaTheme="minorEastAsia"/>
          <w:vertAlign w:val="subscript"/>
        </w:rPr>
        <w:t>o</w:t>
      </w:r>
      <w:r w:rsidR="005E064E">
        <w:rPr>
          <w:rFonts w:eastAsiaTheme="minorEastAsia"/>
        </w:rPr>
        <w:t xml:space="preserve"> to a better unit for thermodynamics, recall that ∆</w:t>
      </w:r>
      <w:r w:rsidR="005E064E">
        <w:rPr>
          <w:rFonts w:eastAsiaTheme="minorEastAsia"/>
          <w:vertAlign w:val="subscript"/>
        </w:rPr>
        <w:t>o</w:t>
      </w:r>
      <w:r w:rsidR="005E064E">
        <w:rPr>
          <w:rFonts w:eastAsiaTheme="minorEastAsia"/>
        </w:rPr>
        <w:t xml:space="preserve"> is on the order of </w:t>
      </w:r>
      <w:r w:rsidR="002A314C">
        <w:rPr>
          <w:rFonts w:eastAsiaTheme="minorEastAsia"/>
        </w:rPr>
        <w:t>15</w:t>
      </w:r>
      <w:r w:rsidR="0083178B">
        <w:rPr>
          <w:rFonts w:eastAsiaTheme="minorEastAsia"/>
        </w:rPr>
        <w:t>,</w:t>
      </w:r>
      <w:r w:rsidR="002A314C">
        <w:rPr>
          <w:rFonts w:eastAsiaTheme="minorEastAsia"/>
        </w:rPr>
        <w:t>000</w:t>
      </w:r>
      <w:r w:rsidR="0083178B">
        <w:rPr>
          <w:rFonts w:eastAsiaTheme="minorEastAsia"/>
        </w:rPr>
        <w:t>-20,000</w:t>
      </w:r>
      <w:r w:rsidR="002A314C">
        <w:rPr>
          <w:rFonts w:eastAsiaTheme="minorEastAsia"/>
        </w:rPr>
        <w:t xml:space="preserve"> cm</w:t>
      </w:r>
      <w:r w:rsidR="002A314C">
        <w:rPr>
          <w:rFonts w:eastAsiaTheme="minorEastAsia"/>
          <w:vertAlign w:val="superscript"/>
        </w:rPr>
        <w:t>-1</w:t>
      </w:r>
      <w:r w:rsidR="002A314C">
        <w:rPr>
          <w:rFonts w:eastAsiaTheme="minorEastAsia"/>
        </w:rPr>
        <w:t xml:space="preserve"> which corresponds to about 45</w:t>
      </w:r>
      <w:r w:rsidR="0083178B">
        <w:rPr>
          <w:rFonts w:eastAsiaTheme="minorEastAsia"/>
        </w:rPr>
        <w:t>-55</w:t>
      </w:r>
      <w:r w:rsidR="002A314C">
        <w:rPr>
          <w:rFonts w:eastAsiaTheme="minorEastAsia"/>
        </w:rPr>
        <w:t xml:space="preserve"> kcal/mol</w:t>
      </w:r>
      <w:r w:rsidR="00A15D87">
        <w:rPr>
          <w:rFonts w:eastAsiaTheme="minorEastAsia"/>
        </w:rPr>
        <w:t xml:space="preserve"> (</w:t>
      </w:r>
      <w:r w:rsidR="002C0960">
        <w:rPr>
          <w:rFonts w:eastAsiaTheme="minorEastAsia"/>
        </w:rPr>
        <w:t>approximately that of the M-L bond strength</w:t>
      </w:r>
      <w:r w:rsidR="00A15D87">
        <w:rPr>
          <w:rFonts w:eastAsiaTheme="minorEastAsia"/>
        </w:rPr>
        <w:t>)</w:t>
      </w:r>
      <w:r w:rsidR="002A314C">
        <w:rPr>
          <w:rFonts w:eastAsiaTheme="minorEastAsia"/>
        </w:rPr>
        <w:t>.</w:t>
      </w:r>
      <w:r w:rsidR="00BC2377">
        <w:rPr>
          <w:rFonts w:eastAsiaTheme="minorEastAsia"/>
        </w:rPr>
        <w:t xml:space="preserve"> R = 1.987 </w:t>
      </w:r>
      <w:proofErr w:type="spellStart"/>
      <w:r w:rsidR="00BC2377">
        <w:rPr>
          <w:rFonts w:eastAsiaTheme="minorEastAsia"/>
        </w:rPr>
        <w:t>cal</w:t>
      </w:r>
      <w:proofErr w:type="spellEnd"/>
      <w:r w:rsidR="00BC2377">
        <w:rPr>
          <w:rFonts w:eastAsiaTheme="minorEastAsia"/>
        </w:rPr>
        <w:t>/</w:t>
      </w:r>
      <w:proofErr w:type="spellStart"/>
      <w:r w:rsidR="00BC2377">
        <w:rPr>
          <w:rFonts w:eastAsiaTheme="minorEastAsia"/>
        </w:rPr>
        <w:t>mol·K</w:t>
      </w:r>
      <w:proofErr w:type="spellEnd"/>
      <w:r w:rsidR="00BC2377">
        <w:rPr>
          <w:rFonts w:eastAsiaTheme="minorEastAsia"/>
        </w:rPr>
        <w:t xml:space="preserve"> and T = 298 </w:t>
      </w:r>
      <w:r w:rsidR="00AB4A2F">
        <w:rPr>
          <w:rFonts w:eastAsiaTheme="minorEastAsia"/>
        </w:rPr>
        <w:t>K</w:t>
      </w:r>
      <w:r w:rsidR="00BC2377">
        <w:rPr>
          <w:rFonts w:eastAsiaTheme="minorEastAsia"/>
        </w:rPr>
        <w:t>.</w:t>
      </w:r>
      <w:r w:rsidR="00A15D87">
        <w:rPr>
          <w:rFonts w:eastAsiaTheme="minorEastAsia"/>
        </w:rPr>
        <w:t xml:space="preserve"> When doing this calculation, think about what it means if you use the positive or negative ∆CFSE value.</w:t>
      </w:r>
    </w:p>
    <w:p w14:paraId="2D08A3C2" w14:textId="3F7F1082" w:rsidR="0076206F" w:rsidRDefault="0076206F" w:rsidP="0076206F"/>
    <w:p w14:paraId="6BFE27AC" w14:textId="77777777" w:rsidR="00A15D87" w:rsidRDefault="00A15D87">
      <w:r>
        <w:br w:type="page"/>
      </w:r>
    </w:p>
    <w:p w14:paraId="624BF70D" w14:textId="74EE108F" w:rsidR="0076206F" w:rsidRDefault="0076206F" w:rsidP="0076206F">
      <w:r>
        <w:lastRenderedPageBreak/>
        <w:t xml:space="preserve">4) Using the ∆CFSE terms you calculated above, calculate the </w:t>
      </w:r>
      <w:r w:rsidRPr="002C0960">
        <w:rPr>
          <w:i/>
          <w:iCs/>
        </w:rPr>
        <w:t>relative rate</w:t>
      </w:r>
      <w:r w:rsidR="002C0960" w:rsidRPr="002C0960">
        <w:rPr>
          <w:i/>
          <w:iCs/>
        </w:rPr>
        <w:t>s</w:t>
      </w:r>
      <w:r>
        <w:t xml:space="preserve"> of ligand substitution for</w:t>
      </w:r>
      <w:r w:rsidR="002C0960">
        <w:t>:</w:t>
      </w:r>
      <w:r>
        <w:t xml:space="preserve"> </w:t>
      </w:r>
    </w:p>
    <w:p w14:paraId="08A92C90" w14:textId="0A14003E" w:rsidR="0076206F" w:rsidRDefault="0076206F" w:rsidP="0076206F">
      <w:r>
        <w:t>a) Co(II) and Co(III) (low spin)</w:t>
      </w:r>
      <w:r w:rsidR="000C115D">
        <w:t>, water exchange</w:t>
      </w:r>
    </w:p>
    <w:p w14:paraId="3547B799" w14:textId="77777777" w:rsidR="005D1A1C" w:rsidRDefault="005D1A1C" w:rsidP="0076206F">
      <w:pPr>
        <w:rPr>
          <w:color w:val="FF0000"/>
        </w:rPr>
      </w:pPr>
    </w:p>
    <w:p w14:paraId="14163D2E" w14:textId="77777777" w:rsidR="005D1A1C" w:rsidRDefault="005D1A1C" w:rsidP="0076206F">
      <w:pPr>
        <w:rPr>
          <w:color w:val="FF0000"/>
        </w:rPr>
      </w:pPr>
    </w:p>
    <w:p w14:paraId="0FDEE1FB" w14:textId="77777777" w:rsidR="005D1A1C" w:rsidRDefault="005D1A1C" w:rsidP="00A15D87">
      <w:pPr>
        <w:jc w:val="both"/>
        <w:rPr>
          <w:color w:val="FF0000"/>
        </w:rPr>
      </w:pPr>
    </w:p>
    <w:p w14:paraId="27555BF0" w14:textId="77777777" w:rsidR="005D1A1C" w:rsidRDefault="005D1A1C" w:rsidP="00A15D87">
      <w:pPr>
        <w:jc w:val="both"/>
        <w:rPr>
          <w:color w:val="FF0000"/>
        </w:rPr>
      </w:pPr>
    </w:p>
    <w:p w14:paraId="558789A1" w14:textId="77777777" w:rsidR="005D1A1C" w:rsidRDefault="005D1A1C" w:rsidP="00A15D87">
      <w:pPr>
        <w:jc w:val="both"/>
        <w:rPr>
          <w:color w:val="FF0000"/>
        </w:rPr>
      </w:pPr>
    </w:p>
    <w:p w14:paraId="2478937B" w14:textId="4BB7C1E0" w:rsidR="00627CD4" w:rsidRDefault="00627CD4" w:rsidP="0076206F">
      <w:pPr>
        <w:rPr>
          <w:color w:val="FF0000"/>
        </w:rPr>
      </w:pPr>
    </w:p>
    <w:p w14:paraId="639586CA" w14:textId="77777777" w:rsidR="005D1A1C" w:rsidRDefault="005D1A1C" w:rsidP="0076206F"/>
    <w:p w14:paraId="4E2641E5" w14:textId="64D4EC22" w:rsidR="0076206F" w:rsidRDefault="0076206F" w:rsidP="0076206F">
      <w:r>
        <w:t>b) Cr(III) and Mn(III) (low spin)</w:t>
      </w:r>
      <w:r w:rsidR="000C115D">
        <w:t>, cyanide exchange</w:t>
      </w:r>
    </w:p>
    <w:p w14:paraId="352EE8F9" w14:textId="77777777" w:rsidR="005D1A1C" w:rsidRDefault="005D1A1C" w:rsidP="000C115D">
      <w:pPr>
        <w:rPr>
          <w:color w:val="FF0000"/>
        </w:rPr>
      </w:pPr>
    </w:p>
    <w:p w14:paraId="682E305A" w14:textId="77777777" w:rsidR="005D1A1C" w:rsidRDefault="005D1A1C" w:rsidP="000C115D">
      <w:pPr>
        <w:rPr>
          <w:color w:val="FF0000"/>
        </w:rPr>
      </w:pPr>
    </w:p>
    <w:p w14:paraId="13217C53" w14:textId="77777777" w:rsidR="005D1A1C" w:rsidRDefault="005D1A1C" w:rsidP="000C115D">
      <w:pPr>
        <w:rPr>
          <w:color w:val="FF0000"/>
        </w:rPr>
      </w:pPr>
    </w:p>
    <w:p w14:paraId="7F50DD47" w14:textId="77777777" w:rsidR="005D1A1C" w:rsidRDefault="005D1A1C" w:rsidP="000C115D">
      <w:pPr>
        <w:rPr>
          <w:color w:val="FF0000"/>
        </w:rPr>
      </w:pPr>
    </w:p>
    <w:p w14:paraId="3C671ECB" w14:textId="77777777" w:rsidR="005D1A1C" w:rsidRDefault="005D1A1C" w:rsidP="000C115D">
      <w:pPr>
        <w:rPr>
          <w:color w:val="FF0000"/>
        </w:rPr>
      </w:pPr>
    </w:p>
    <w:p w14:paraId="7532F7FC" w14:textId="5B15254A" w:rsidR="00AB4A2F" w:rsidRDefault="00AB4A2F" w:rsidP="0076206F">
      <w:pPr>
        <w:rPr>
          <w:color w:val="FF0000"/>
        </w:rPr>
      </w:pPr>
    </w:p>
    <w:p w14:paraId="55447607" w14:textId="77777777" w:rsidR="005D1A1C" w:rsidRDefault="005D1A1C" w:rsidP="0076206F"/>
    <w:p w14:paraId="72E00999" w14:textId="77777777" w:rsidR="00AB4A2F" w:rsidRDefault="00AB4A2F" w:rsidP="0076206F"/>
    <w:p w14:paraId="19FB1515" w14:textId="60763C01" w:rsidR="006E60A3" w:rsidRPr="0076206F" w:rsidRDefault="006E60A3" w:rsidP="0076206F">
      <w:r>
        <w:t>c) do the relative rates you calculated here match the relative rates tabulated above?</w:t>
      </w:r>
    </w:p>
    <w:p w14:paraId="657805DF" w14:textId="3E70C4D5" w:rsidR="00A15D87" w:rsidRDefault="00A15D87" w:rsidP="004B0A9B">
      <w:pPr>
        <w:rPr>
          <w:color w:val="FF0000"/>
        </w:rPr>
      </w:pPr>
    </w:p>
    <w:p w14:paraId="073BF480" w14:textId="221F932A" w:rsidR="005D1A1C" w:rsidRDefault="005D1A1C" w:rsidP="004B0A9B">
      <w:pPr>
        <w:rPr>
          <w:color w:val="FF0000"/>
        </w:rPr>
      </w:pPr>
    </w:p>
    <w:p w14:paraId="305D82BB" w14:textId="0E6D1CEC" w:rsidR="005D1A1C" w:rsidRDefault="005D1A1C" w:rsidP="004B0A9B">
      <w:pPr>
        <w:rPr>
          <w:color w:val="FF0000"/>
        </w:rPr>
      </w:pPr>
    </w:p>
    <w:p w14:paraId="0AFB4D2C" w14:textId="77777777" w:rsidR="005D1A1C" w:rsidRPr="00AB4A2F" w:rsidRDefault="005D1A1C" w:rsidP="004B0A9B">
      <w:pPr>
        <w:rPr>
          <w:color w:val="FF0000"/>
        </w:rPr>
      </w:pPr>
    </w:p>
    <w:p w14:paraId="3BC16D6A" w14:textId="65CC56BE" w:rsidR="00407DD6" w:rsidRDefault="00407DD6" w:rsidP="004B0A9B">
      <w:pPr>
        <w:rPr>
          <w:color w:val="FF0000"/>
        </w:rPr>
      </w:pPr>
    </w:p>
    <w:p w14:paraId="6B2894FB" w14:textId="0EE858D9" w:rsidR="005D1A1C" w:rsidRDefault="005D1A1C" w:rsidP="004B0A9B">
      <w:pPr>
        <w:rPr>
          <w:color w:val="FF0000"/>
        </w:rPr>
      </w:pPr>
    </w:p>
    <w:p w14:paraId="02A53375" w14:textId="16B3D2F1" w:rsidR="005D1A1C" w:rsidRDefault="005D1A1C" w:rsidP="004B0A9B">
      <w:pPr>
        <w:rPr>
          <w:color w:val="FF0000"/>
        </w:rPr>
      </w:pPr>
    </w:p>
    <w:p w14:paraId="0BB02D51" w14:textId="77777777" w:rsidR="005D1A1C" w:rsidRDefault="005D1A1C" w:rsidP="004B0A9B"/>
    <w:p w14:paraId="44A19F4E" w14:textId="2216D27C" w:rsidR="00407DD6" w:rsidRDefault="00700379" w:rsidP="004B0A9B">
      <w:r>
        <w:t>5) additional practice: verify the relative rates of V</w:t>
      </w:r>
      <w:r>
        <w:rPr>
          <w:vertAlign w:val="superscript"/>
        </w:rPr>
        <w:t>2+</w:t>
      </w:r>
      <w:r>
        <w:t xml:space="preserve"> and V</w:t>
      </w:r>
      <w:r>
        <w:rPr>
          <w:vertAlign w:val="superscript"/>
        </w:rPr>
        <w:t>3+</w:t>
      </w:r>
      <w:r>
        <w:t>.</w:t>
      </w:r>
      <w:r w:rsidR="001027BE">
        <w:t xml:space="preserve"> Is the rate order predicted correctly? Is the relative rate ratio predicted correctly?</w:t>
      </w:r>
    </w:p>
    <w:p w14:paraId="5FCFCDF5" w14:textId="00C724AB" w:rsidR="001027BE" w:rsidRDefault="001027BE">
      <w:pPr>
        <w:rPr>
          <w:color w:val="FF0000"/>
        </w:rPr>
      </w:pPr>
    </w:p>
    <w:p w14:paraId="72D655FC" w14:textId="77777777" w:rsidR="005D1A1C" w:rsidRDefault="005D1A1C">
      <w:pPr>
        <w:rPr>
          <w:b/>
          <w:bCs/>
        </w:rPr>
      </w:pPr>
    </w:p>
    <w:p w14:paraId="7193582B" w14:textId="77777777" w:rsidR="001027BE" w:rsidRDefault="001027BE">
      <w:pPr>
        <w:rPr>
          <w:b/>
          <w:bCs/>
        </w:rPr>
      </w:pPr>
    </w:p>
    <w:p w14:paraId="62458CF8" w14:textId="421D1AA1" w:rsidR="001027BE" w:rsidRDefault="001027BE">
      <w:pPr>
        <w:rPr>
          <w:b/>
          <w:bCs/>
        </w:rPr>
      </w:pPr>
      <w:r>
        <w:rPr>
          <w:b/>
          <w:bCs/>
        </w:rPr>
        <w:br w:type="page"/>
      </w:r>
    </w:p>
    <w:p w14:paraId="49E89E9C" w14:textId="3794CB3C" w:rsidR="00BE347E" w:rsidRDefault="00BE347E" w:rsidP="00436139">
      <w:pPr>
        <w:rPr>
          <w:b/>
          <w:bCs/>
        </w:rPr>
      </w:pPr>
      <w:r>
        <w:rPr>
          <w:b/>
          <w:bCs/>
        </w:rPr>
        <w:lastRenderedPageBreak/>
        <w:t>References</w:t>
      </w:r>
    </w:p>
    <w:p w14:paraId="57CBEF1A" w14:textId="77777777" w:rsidR="00EB0531" w:rsidRPr="005D1A1C" w:rsidRDefault="00BE347E" w:rsidP="00626CB3">
      <w:pPr>
        <w:spacing w:after="120"/>
      </w:pPr>
      <w:r w:rsidRPr="005D1A1C">
        <w:t xml:space="preserve">1) </w:t>
      </w:r>
      <w:r w:rsidR="00436139" w:rsidRPr="005D1A1C">
        <w:t>Ligand substitution rates for high spin metal aquo complexes from Lothar Helm, André E. Merbach "Inorganic and Bioinorganic Solvent Exchange Mechanisms" Chemical Reviews 2005, volume 105, 1923-1959. doi:10.1021/cr030726o</w:t>
      </w:r>
      <w:r w:rsidRPr="005D1A1C">
        <w:t xml:space="preserve">. </w:t>
      </w:r>
    </w:p>
    <w:p w14:paraId="48285C1B" w14:textId="0D303478" w:rsidR="00436139" w:rsidRPr="005D1A1C" w:rsidRDefault="00EB0531" w:rsidP="00626CB3">
      <w:pPr>
        <w:spacing w:after="120"/>
      </w:pPr>
      <w:r w:rsidRPr="005D1A1C">
        <w:t xml:space="preserve">2) </w:t>
      </w:r>
      <w:r w:rsidR="00436139" w:rsidRPr="005D1A1C">
        <w:t>Most of these data are also reported in “Inorganic and Organometallic Reaction Mechanisms,</w:t>
      </w:r>
      <w:r w:rsidR="00BE347E" w:rsidRPr="005D1A1C">
        <w:t>”</w:t>
      </w:r>
      <w:r w:rsidR="00436139" w:rsidRPr="005D1A1C">
        <w:t xml:space="preserve"> 2</w:t>
      </w:r>
      <w:r w:rsidR="00436139" w:rsidRPr="005D1A1C">
        <w:rPr>
          <w:vertAlign w:val="superscript"/>
        </w:rPr>
        <w:t>nd</w:t>
      </w:r>
      <w:r w:rsidR="00436139" w:rsidRPr="005D1A1C">
        <w:t xml:space="preserve"> ed</w:t>
      </w:r>
      <w:r w:rsidR="00BE347E" w:rsidRPr="005D1A1C">
        <w:t>.,</w:t>
      </w:r>
      <w:r w:rsidR="00436139" w:rsidRPr="005D1A1C">
        <w:t xml:space="preserve"> by J. D. Atwood, Wiley-VCH, New York, 1997. Where these values are different from those reported in Atwood, the newer values are listed.</w:t>
      </w:r>
    </w:p>
    <w:p w14:paraId="65CF220C" w14:textId="3E94806C" w:rsidR="00901DF4" w:rsidRPr="005D1A1C" w:rsidRDefault="00EB0531" w:rsidP="00626CB3">
      <w:pPr>
        <w:spacing w:after="120"/>
      </w:pPr>
      <w:r w:rsidRPr="005D1A1C">
        <w:t>3</w:t>
      </w:r>
      <w:r w:rsidR="00BE347E" w:rsidRPr="005D1A1C">
        <w:t xml:space="preserve">) </w:t>
      </w:r>
      <w:r w:rsidR="00901DF4" w:rsidRPr="005D1A1C">
        <w:t>Ligand substitution rates for ls metal cyano complexes</w:t>
      </w:r>
      <w:r w:rsidR="00BE347E" w:rsidRPr="005D1A1C">
        <w:t xml:space="preserve"> from </w:t>
      </w:r>
      <w:r w:rsidR="00901DF4" w:rsidRPr="005D1A1C">
        <w:t>“Ions in Solution: Basic Principles of Chemical Interactions,</w:t>
      </w:r>
      <w:r w:rsidR="00BE347E" w:rsidRPr="005D1A1C">
        <w:t>”</w:t>
      </w:r>
      <w:r w:rsidR="00901DF4" w:rsidRPr="005D1A1C">
        <w:t xml:space="preserve">  2</w:t>
      </w:r>
      <w:r w:rsidR="00901DF4" w:rsidRPr="005D1A1C">
        <w:rPr>
          <w:vertAlign w:val="superscript"/>
        </w:rPr>
        <w:t>nd</w:t>
      </w:r>
      <w:r w:rsidR="00901DF4" w:rsidRPr="005D1A1C">
        <w:t xml:space="preserve"> ed</w:t>
      </w:r>
      <w:r w:rsidR="00BE347E" w:rsidRPr="005D1A1C">
        <w:t>.</w:t>
      </w:r>
      <w:r w:rsidR="00901DF4" w:rsidRPr="005D1A1C">
        <w:t xml:space="preserve">, </w:t>
      </w:r>
      <w:r w:rsidR="00BE347E" w:rsidRPr="005D1A1C">
        <w:t xml:space="preserve">by J. Burgess, </w:t>
      </w:r>
      <w:r w:rsidR="00901DF4" w:rsidRPr="005D1A1C">
        <w:t>Horwood Publishing, Chichester, West Sussex Englan</w:t>
      </w:r>
      <w:r w:rsidR="00BE347E" w:rsidRPr="005D1A1C">
        <w:t>d</w:t>
      </w:r>
      <w:r w:rsidR="00901DF4" w:rsidRPr="005D1A1C">
        <w:t>, p107.</w:t>
      </w:r>
    </w:p>
    <w:p w14:paraId="6DE6D79C" w14:textId="22FE9F1C" w:rsidR="005D574C" w:rsidRPr="005D1A1C" w:rsidRDefault="00EB0531" w:rsidP="00626CB3">
      <w:pPr>
        <w:tabs>
          <w:tab w:val="left" w:pos="1373"/>
        </w:tabs>
        <w:spacing w:after="120"/>
      </w:pPr>
      <w:r w:rsidRPr="005D1A1C">
        <w:t>4</w:t>
      </w:r>
      <w:r w:rsidR="005D574C" w:rsidRPr="005D1A1C">
        <w:t xml:space="preserve">) the rate law for ammonia exchange </w:t>
      </w:r>
      <w:r w:rsidR="00D37AA0" w:rsidRPr="005D1A1C">
        <w:t>in aqueous solutions of Co(II) in varying concentrations of ammonia in water is 3·10</w:t>
      </w:r>
      <w:r w:rsidR="00D37AA0" w:rsidRPr="005D1A1C">
        <w:rPr>
          <w:vertAlign w:val="superscript"/>
        </w:rPr>
        <w:t>7</w:t>
      </w:r>
      <w:r w:rsidR="00D37AA0" w:rsidRPr="005D1A1C">
        <w:t xml:space="preserve"> sec</w:t>
      </w:r>
      <w:r w:rsidR="00D37AA0" w:rsidRPr="005D1A1C">
        <w:rPr>
          <w:vertAlign w:val="superscript"/>
        </w:rPr>
        <w:t>-1</w:t>
      </w:r>
      <w:r w:rsidR="00D37AA0" w:rsidRPr="005D1A1C">
        <w:t xml:space="preserve">. Robert Murray, Stephen F. Lincoln, Hans H. </w:t>
      </w:r>
      <w:proofErr w:type="spellStart"/>
      <w:r w:rsidR="00D37AA0" w:rsidRPr="005D1A1C">
        <w:t>Glaeser</w:t>
      </w:r>
      <w:proofErr w:type="spellEnd"/>
      <w:r w:rsidR="00D37AA0" w:rsidRPr="005D1A1C">
        <w:t xml:space="preserve">, Harold W. </w:t>
      </w:r>
      <w:proofErr w:type="spellStart"/>
      <w:r w:rsidR="00D37AA0" w:rsidRPr="005D1A1C">
        <w:t>Dodgen</w:t>
      </w:r>
      <w:proofErr w:type="spellEnd"/>
      <w:r w:rsidR="00D37AA0" w:rsidRPr="005D1A1C">
        <w:t xml:space="preserve">, and John P. Hunt, </w:t>
      </w:r>
      <w:r w:rsidR="00D37AA0" w:rsidRPr="005D1A1C">
        <w:rPr>
          <w:i/>
          <w:iCs/>
        </w:rPr>
        <w:t>Inorganic Chemistry</w:t>
      </w:r>
      <w:r w:rsidR="00D37AA0" w:rsidRPr="005D1A1C">
        <w:t> </w:t>
      </w:r>
      <w:r w:rsidR="00D37AA0" w:rsidRPr="005D1A1C">
        <w:rPr>
          <w:b/>
          <w:bCs/>
        </w:rPr>
        <w:t>1969</w:t>
      </w:r>
      <w:r w:rsidR="00D37AA0" w:rsidRPr="005D1A1C">
        <w:t> </w:t>
      </w:r>
      <w:r w:rsidR="00D37AA0" w:rsidRPr="005D1A1C">
        <w:rPr>
          <w:i/>
          <w:iCs/>
        </w:rPr>
        <w:t>8</w:t>
      </w:r>
      <w:r w:rsidR="00D37AA0" w:rsidRPr="005D1A1C">
        <w:t xml:space="preserve"> (3), 554-555, DOI: 10.1021/ic50073a028. The rate of </w:t>
      </w:r>
      <w:r w:rsidRPr="005D1A1C">
        <w:t xml:space="preserve">water </w:t>
      </w:r>
      <w:r w:rsidR="00D37AA0" w:rsidRPr="005D1A1C">
        <w:t xml:space="preserve">exchange </w:t>
      </w:r>
      <w:r w:rsidRPr="005D1A1C">
        <w:t>on [Co(NH</w:t>
      </w:r>
      <w:r w:rsidRPr="005D1A1C">
        <w:rPr>
          <w:vertAlign w:val="subscript"/>
        </w:rPr>
        <w:t>3</w:t>
      </w:r>
      <w:r w:rsidRPr="005D1A1C">
        <w:t>)</w:t>
      </w:r>
      <w:r w:rsidRPr="005D1A1C">
        <w:rPr>
          <w:vertAlign w:val="subscript"/>
        </w:rPr>
        <w:t>5</w:t>
      </w:r>
      <w:r w:rsidRPr="005D1A1C">
        <w:t>(H</w:t>
      </w:r>
      <w:r w:rsidRPr="005D1A1C">
        <w:rPr>
          <w:vertAlign w:val="subscript"/>
        </w:rPr>
        <w:t>2</w:t>
      </w:r>
      <w:r w:rsidRPr="005D1A1C">
        <w:t>O)]</w:t>
      </w:r>
      <w:r w:rsidRPr="005D1A1C">
        <w:rPr>
          <w:vertAlign w:val="superscript"/>
        </w:rPr>
        <w:t>3+</w:t>
      </w:r>
      <w:r w:rsidRPr="005D1A1C">
        <w:t xml:space="preserve"> is 5.7·10</w:t>
      </w:r>
      <w:r w:rsidRPr="005D1A1C">
        <w:rPr>
          <w:vertAlign w:val="superscript"/>
        </w:rPr>
        <w:t>-6</w:t>
      </w:r>
      <w:r w:rsidRPr="005D1A1C">
        <w:t xml:space="preserve"> (ref 2)</w:t>
      </w:r>
    </w:p>
    <w:p w14:paraId="5B894E66" w14:textId="0C5D483D" w:rsidR="009C4E93" w:rsidRPr="005D1A1C" w:rsidRDefault="009C4E93" w:rsidP="00626CB3">
      <w:pPr>
        <w:tabs>
          <w:tab w:val="left" w:pos="1373"/>
        </w:tabs>
        <w:spacing w:after="120"/>
        <w:rPr>
          <w:rFonts w:ascii="Symbol" w:hAnsi="Symbol"/>
        </w:rPr>
      </w:pPr>
      <w:r w:rsidRPr="005D1A1C">
        <w:t xml:space="preserve">5) F. A. Cotton, “Bond Energies in Transition Metal Complexes,” </w:t>
      </w:r>
      <w:r w:rsidRPr="005D1A1C">
        <w:rPr>
          <w:i/>
          <w:iCs/>
        </w:rPr>
        <w:t>Acta Chem. Scand.</w:t>
      </w:r>
      <w:r w:rsidRPr="005D1A1C">
        <w:t xml:space="preserve"> </w:t>
      </w:r>
      <w:r w:rsidRPr="005D1A1C">
        <w:rPr>
          <w:b/>
          <w:bCs/>
        </w:rPr>
        <w:t>1956</w:t>
      </w:r>
      <w:r w:rsidRPr="005D1A1C">
        <w:t xml:space="preserve">, </w:t>
      </w:r>
      <w:r w:rsidRPr="005D1A1C">
        <w:rPr>
          <w:i/>
          <w:iCs/>
        </w:rPr>
        <w:t>10</w:t>
      </w:r>
      <w:r w:rsidRPr="005D1A1C">
        <w:t>, 1520-1526.</w:t>
      </w:r>
    </w:p>
    <w:sectPr w:rsidR="009C4E93" w:rsidRPr="005D1A1C" w:rsidSect="00392C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DE430" w14:textId="77777777" w:rsidR="00392C9E" w:rsidRDefault="00392C9E" w:rsidP="00322F43">
      <w:r>
        <w:separator/>
      </w:r>
    </w:p>
  </w:endnote>
  <w:endnote w:type="continuationSeparator" w:id="0">
    <w:p w14:paraId="60B75D73" w14:textId="77777777" w:rsidR="00392C9E" w:rsidRDefault="00392C9E" w:rsidP="0032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8B24" w14:textId="66DDB74C" w:rsidR="00AB4A2F" w:rsidRDefault="00AB4A2F">
    <w:pPr>
      <w:pStyle w:val="Footer"/>
    </w:pPr>
    <w:r>
      <w:tab/>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0268" w14:textId="77777777" w:rsidR="00392C9E" w:rsidRDefault="00392C9E" w:rsidP="00322F43">
      <w:r>
        <w:separator/>
      </w:r>
    </w:p>
  </w:footnote>
  <w:footnote w:type="continuationSeparator" w:id="0">
    <w:p w14:paraId="4676A14F" w14:textId="77777777" w:rsidR="00392C9E" w:rsidRDefault="00392C9E" w:rsidP="00322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FD30" w14:textId="7581AE3A" w:rsidR="00AB4A2F" w:rsidRPr="00322F43" w:rsidRDefault="00AB4A2F" w:rsidP="00322F43">
    <w:pPr>
      <w:jc w:val="both"/>
      <w:rPr>
        <w:sz w:val="21"/>
      </w:rPr>
    </w:pPr>
    <w:r w:rsidRPr="00676FF8">
      <w:rPr>
        <w:rFonts w:ascii="Arial" w:hAnsi="Arial"/>
        <w:sz w:val="16"/>
      </w:rPr>
      <w:t>Created by Adam R. Johnson, Harvey Mudd College (adam_johnson@hmc.edu) and posted on VIPEr (</w:t>
    </w:r>
    <w:hyperlink r:id="rId1" w:history="1">
      <w:r w:rsidRPr="00676FF8">
        <w:rPr>
          <w:rStyle w:val="Hyperlink"/>
          <w:rFonts w:ascii="Arial" w:hAnsi="Arial"/>
          <w:sz w:val="16"/>
        </w:rPr>
        <w:t>www.ionicviper.org</w:t>
      </w:r>
    </w:hyperlink>
    <w:r w:rsidRPr="00676FF8">
      <w:rPr>
        <w:rFonts w:ascii="Arial" w:hAnsi="Arial"/>
        <w:sz w:val="16"/>
      </w:rPr>
      <w:t xml:space="preserve">) on </w:t>
    </w:r>
    <w:r>
      <w:rPr>
        <w:rFonts w:ascii="Arial" w:hAnsi="Arial"/>
        <w:sz w:val="16"/>
      </w:rPr>
      <w:t>June 9, 2020</w:t>
    </w:r>
    <w:r w:rsidRPr="00676FF8">
      <w:rPr>
        <w:rFonts w:ascii="Arial" w:hAnsi="Arial"/>
        <w:sz w:val="16"/>
      </w:rPr>
      <w:t xml:space="preserve">.  Copyright Adam </w:t>
    </w:r>
    <w:r>
      <w:rPr>
        <w:rFonts w:ascii="Arial" w:hAnsi="Arial"/>
        <w:sz w:val="16"/>
      </w:rPr>
      <w:t xml:space="preserve">R. </w:t>
    </w:r>
    <w:r w:rsidRPr="00676FF8">
      <w:rPr>
        <w:rFonts w:ascii="Arial" w:hAnsi="Arial"/>
        <w:sz w:val="16"/>
      </w:rPr>
      <w:t xml:space="preserve">Johnson </w:t>
    </w:r>
    <w:r>
      <w:rPr>
        <w:rFonts w:ascii="Arial" w:hAnsi="Arial"/>
        <w:sz w:val="16"/>
      </w:rPr>
      <w:t>2020</w:t>
    </w:r>
    <w:r w:rsidRPr="00676FF8">
      <w:rPr>
        <w:rFonts w:ascii="Arial" w:hAnsi="Arial"/>
        <w:sz w:val="16"/>
      </w:rPr>
      <w:t xml:space="preserve">.  This work is licensed under the Creative </w:t>
    </w:r>
    <w:r w:rsidRPr="00676FF8">
      <w:rPr>
        <w:rFonts w:ascii="Arial" w:hAnsi="Arial" w:cs="Arial"/>
        <w:sz w:val="16"/>
      </w:rPr>
      <w:t>Commons</w:t>
    </w:r>
    <w:r w:rsidRPr="003C56E5">
      <w:rPr>
        <w:rFonts w:ascii="Arial" w:hAnsi="Arial" w:cs="Arial"/>
        <w:sz w:val="16"/>
      </w:rPr>
      <w:t xml:space="preserve"> Attribution-</w:t>
    </w:r>
    <w:proofErr w:type="spellStart"/>
    <w:r w:rsidRPr="003C56E5">
      <w:rPr>
        <w:rFonts w:ascii="Arial" w:hAnsi="Arial" w:cs="Arial"/>
        <w:sz w:val="16"/>
      </w:rPr>
      <w:t>NonCommercial</w:t>
    </w:r>
    <w:proofErr w:type="spellEnd"/>
    <w:r w:rsidRPr="003C56E5">
      <w:rPr>
        <w:rFonts w:ascii="Arial" w:hAnsi="Arial" w:cs="Arial"/>
        <w:sz w:val="16"/>
      </w:rPr>
      <w:t>-</w:t>
    </w:r>
    <w:proofErr w:type="spellStart"/>
    <w:r w:rsidRPr="003C56E5">
      <w:rPr>
        <w:rFonts w:ascii="Arial" w:hAnsi="Arial" w:cs="Arial"/>
        <w:sz w:val="16"/>
      </w:rPr>
      <w:t>ShareAlike</w:t>
    </w:r>
    <w:proofErr w:type="spellEnd"/>
    <w:r w:rsidRPr="003C56E5">
      <w:rPr>
        <w:rFonts w:ascii="Arial" w:hAnsi="Arial" w:cs="Arial"/>
        <w:sz w:val="16"/>
      </w:rPr>
      <w:t xml:space="preserve"> 4.0 International (CC BY-NC-SA 4.0</w:t>
    </w:r>
    <w:r>
      <w:rPr>
        <w:rFonts w:ascii="Arial" w:hAnsi="Arial" w:cs="Arial"/>
        <w:sz w:val="16"/>
      </w:rPr>
      <w:t>)</w:t>
    </w:r>
    <w:r w:rsidRPr="00676FF8">
      <w:rPr>
        <w:rFonts w:ascii="Arial" w:hAnsi="Arial"/>
        <w:sz w:val="16"/>
      </w:rPr>
      <w:t xml:space="preserve">. To view a copy of this license visit </w:t>
    </w:r>
    <w:hyperlink r:id="rId2" w:history="1">
      <w:r w:rsidRPr="00676FF8">
        <w:rPr>
          <w:rStyle w:val="Hyperlink"/>
          <w:rFonts w:ascii="Arial" w:hAnsi="Arial"/>
          <w:sz w:val="16"/>
        </w:rPr>
        <w:t>http://creativecommons.org/about/license/</w:t>
      </w:r>
    </w:hyperlink>
    <w:r w:rsidRPr="00676FF8">
      <w:rPr>
        <w:rFonts w:ascii="Arial" w:hAnsi="Arial"/>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673E3"/>
    <w:multiLevelType w:val="hybridMultilevel"/>
    <w:tmpl w:val="F544EB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3C205E"/>
    <w:multiLevelType w:val="hybridMultilevel"/>
    <w:tmpl w:val="B6DCCCAE"/>
    <w:lvl w:ilvl="0" w:tplc="AF1AFC2E">
      <w:start w:val="1"/>
      <w:numFmt w:val="bullet"/>
      <w:lvlText w:val="•"/>
      <w:lvlJc w:val="left"/>
      <w:pPr>
        <w:tabs>
          <w:tab w:val="num" w:pos="720"/>
        </w:tabs>
        <w:ind w:left="720" w:hanging="360"/>
      </w:pPr>
      <w:rPr>
        <w:rFonts w:ascii="Times New Roman" w:hAnsi="Times New Roman" w:hint="default"/>
      </w:rPr>
    </w:lvl>
    <w:lvl w:ilvl="1" w:tplc="041299F8">
      <w:numFmt w:val="bullet"/>
      <w:lvlText w:val="–"/>
      <w:lvlJc w:val="left"/>
      <w:pPr>
        <w:tabs>
          <w:tab w:val="num" w:pos="1440"/>
        </w:tabs>
        <w:ind w:left="1440" w:hanging="360"/>
      </w:pPr>
      <w:rPr>
        <w:rFonts w:ascii="Times New Roman" w:hAnsi="Times New Roman" w:hint="default"/>
      </w:rPr>
    </w:lvl>
    <w:lvl w:ilvl="2" w:tplc="4DA05436" w:tentative="1">
      <w:start w:val="1"/>
      <w:numFmt w:val="bullet"/>
      <w:lvlText w:val="•"/>
      <w:lvlJc w:val="left"/>
      <w:pPr>
        <w:tabs>
          <w:tab w:val="num" w:pos="2160"/>
        </w:tabs>
        <w:ind w:left="2160" w:hanging="360"/>
      </w:pPr>
      <w:rPr>
        <w:rFonts w:ascii="Times New Roman" w:hAnsi="Times New Roman" w:hint="default"/>
      </w:rPr>
    </w:lvl>
    <w:lvl w:ilvl="3" w:tplc="109C720A" w:tentative="1">
      <w:start w:val="1"/>
      <w:numFmt w:val="bullet"/>
      <w:lvlText w:val="•"/>
      <w:lvlJc w:val="left"/>
      <w:pPr>
        <w:tabs>
          <w:tab w:val="num" w:pos="2880"/>
        </w:tabs>
        <w:ind w:left="2880" w:hanging="360"/>
      </w:pPr>
      <w:rPr>
        <w:rFonts w:ascii="Times New Roman" w:hAnsi="Times New Roman" w:hint="default"/>
      </w:rPr>
    </w:lvl>
    <w:lvl w:ilvl="4" w:tplc="4D8A1C4E" w:tentative="1">
      <w:start w:val="1"/>
      <w:numFmt w:val="bullet"/>
      <w:lvlText w:val="•"/>
      <w:lvlJc w:val="left"/>
      <w:pPr>
        <w:tabs>
          <w:tab w:val="num" w:pos="3600"/>
        </w:tabs>
        <w:ind w:left="3600" w:hanging="360"/>
      </w:pPr>
      <w:rPr>
        <w:rFonts w:ascii="Times New Roman" w:hAnsi="Times New Roman" w:hint="default"/>
      </w:rPr>
    </w:lvl>
    <w:lvl w:ilvl="5" w:tplc="5A0CFAC8" w:tentative="1">
      <w:start w:val="1"/>
      <w:numFmt w:val="bullet"/>
      <w:lvlText w:val="•"/>
      <w:lvlJc w:val="left"/>
      <w:pPr>
        <w:tabs>
          <w:tab w:val="num" w:pos="4320"/>
        </w:tabs>
        <w:ind w:left="4320" w:hanging="360"/>
      </w:pPr>
      <w:rPr>
        <w:rFonts w:ascii="Times New Roman" w:hAnsi="Times New Roman" w:hint="default"/>
      </w:rPr>
    </w:lvl>
    <w:lvl w:ilvl="6" w:tplc="78444136" w:tentative="1">
      <w:start w:val="1"/>
      <w:numFmt w:val="bullet"/>
      <w:lvlText w:val="•"/>
      <w:lvlJc w:val="left"/>
      <w:pPr>
        <w:tabs>
          <w:tab w:val="num" w:pos="5040"/>
        </w:tabs>
        <w:ind w:left="5040" w:hanging="360"/>
      </w:pPr>
      <w:rPr>
        <w:rFonts w:ascii="Times New Roman" w:hAnsi="Times New Roman" w:hint="default"/>
      </w:rPr>
    </w:lvl>
    <w:lvl w:ilvl="7" w:tplc="0330998E" w:tentative="1">
      <w:start w:val="1"/>
      <w:numFmt w:val="bullet"/>
      <w:lvlText w:val="•"/>
      <w:lvlJc w:val="left"/>
      <w:pPr>
        <w:tabs>
          <w:tab w:val="num" w:pos="5760"/>
        </w:tabs>
        <w:ind w:left="5760" w:hanging="360"/>
      </w:pPr>
      <w:rPr>
        <w:rFonts w:ascii="Times New Roman" w:hAnsi="Times New Roman" w:hint="default"/>
      </w:rPr>
    </w:lvl>
    <w:lvl w:ilvl="8" w:tplc="64360476" w:tentative="1">
      <w:start w:val="1"/>
      <w:numFmt w:val="bullet"/>
      <w:lvlText w:val="•"/>
      <w:lvlJc w:val="left"/>
      <w:pPr>
        <w:tabs>
          <w:tab w:val="num" w:pos="6480"/>
        </w:tabs>
        <w:ind w:left="6480" w:hanging="360"/>
      </w:pPr>
      <w:rPr>
        <w:rFonts w:ascii="Times New Roman" w:hAnsi="Times New Roman" w:hint="default"/>
      </w:rPr>
    </w:lvl>
  </w:abstractNum>
  <w:num w:numId="1" w16cid:durableId="888228956">
    <w:abstractNumId w:val="1"/>
  </w:num>
  <w:num w:numId="2" w16cid:durableId="2122217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89"/>
    <w:rsid w:val="000035AA"/>
    <w:rsid w:val="0001589D"/>
    <w:rsid w:val="000169C2"/>
    <w:rsid w:val="00022BE4"/>
    <w:rsid w:val="000332EA"/>
    <w:rsid w:val="000343E1"/>
    <w:rsid w:val="0003732C"/>
    <w:rsid w:val="000406CA"/>
    <w:rsid w:val="00043BEE"/>
    <w:rsid w:val="0004603E"/>
    <w:rsid w:val="00053C85"/>
    <w:rsid w:val="00055EDF"/>
    <w:rsid w:val="00060673"/>
    <w:rsid w:val="00061658"/>
    <w:rsid w:val="000916AF"/>
    <w:rsid w:val="000950C1"/>
    <w:rsid w:val="000A0646"/>
    <w:rsid w:val="000A2FC8"/>
    <w:rsid w:val="000A5AEF"/>
    <w:rsid w:val="000A7DF3"/>
    <w:rsid w:val="000B5219"/>
    <w:rsid w:val="000B6BAF"/>
    <w:rsid w:val="000C015E"/>
    <w:rsid w:val="000C115D"/>
    <w:rsid w:val="000C1C6A"/>
    <w:rsid w:val="000C1E89"/>
    <w:rsid w:val="000C59D7"/>
    <w:rsid w:val="000D4636"/>
    <w:rsid w:val="000D7A3A"/>
    <w:rsid w:val="000E5A3D"/>
    <w:rsid w:val="001027BE"/>
    <w:rsid w:val="00104AFD"/>
    <w:rsid w:val="0012041A"/>
    <w:rsid w:val="00121756"/>
    <w:rsid w:val="00134118"/>
    <w:rsid w:val="001432EC"/>
    <w:rsid w:val="00146AC7"/>
    <w:rsid w:val="0017218D"/>
    <w:rsid w:val="00176186"/>
    <w:rsid w:val="001803B6"/>
    <w:rsid w:val="0018250D"/>
    <w:rsid w:val="00194C1F"/>
    <w:rsid w:val="001A5692"/>
    <w:rsid w:val="001C0B3E"/>
    <w:rsid w:val="001C12D8"/>
    <w:rsid w:val="001D4E50"/>
    <w:rsid w:val="001E0951"/>
    <w:rsid w:val="0020126F"/>
    <w:rsid w:val="0021167F"/>
    <w:rsid w:val="0021276A"/>
    <w:rsid w:val="002313A9"/>
    <w:rsid w:val="002324A2"/>
    <w:rsid w:val="00250D19"/>
    <w:rsid w:val="002542FE"/>
    <w:rsid w:val="00260921"/>
    <w:rsid w:val="0026346E"/>
    <w:rsid w:val="00271551"/>
    <w:rsid w:val="00275436"/>
    <w:rsid w:val="002764DF"/>
    <w:rsid w:val="00281251"/>
    <w:rsid w:val="002843C3"/>
    <w:rsid w:val="002871C4"/>
    <w:rsid w:val="00295263"/>
    <w:rsid w:val="002A0B0D"/>
    <w:rsid w:val="002A314C"/>
    <w:rsid w:val="002A4381"/>
    <w:rsid w:val="002B2184"/>
    <w:rsid w:val="002C0960"/>
    <w:rsid w:val="002C6905"/>
    <w:rsid w:val="002C7089"/>
    <w:rsid w:val="002D276E"/>
    <w:rsid w:val="002E58CD"/>
    <w:rsid w:val="003005FB"/>
    <w:rsid w:val="00311A36"/>
    <w:rsid w:val="00315723"/>
    <w:rsid w:val="00316E5A"/>
    <w:rsid w:val="00322F43"/>
    <w:rsid w:val="0034731A"/>
    <w:rsid w:val="0037227D"/>
    <w:rsid w:val="00373C3F"/>
    <w:rsid w:val="00390D8D"/>
    <w:rsid w:val="00392C9E"/>
    <w:rsid w:val="0039416A"/>
    <w:rsid w:val="00395FBB"/>
    <w:rsid w:val="003A0D7E"/>
    <w:rsid w:val="003B3548"/>
    <w:rsid w:val="003B59FE"/>
    <w:rsid w:val="003C3E3F"/>
    <w:rsid w:val="003C675B"/>
    <w:rsid w:val="003E065F"/>
    <w:rsid w:val="003F7848"/>
    <w:rsid w:val="00404A19"/>
    <w:rsid w:val="00405CC1"/>
    <w:rsid w:val="00407DD6"/>
    <w:rsid w:val="004203A2"/>
    <w:rsid w:val="004246B7"/>
    <w:rsid w:val="00436139"/>
    <w:rsid w:val="00447083"/>
    <w:rsid w:val="0046638E"/>
    <w:rsid w:val="004756E8"/>
    <w:rsid w:val="004860B5"/>
    <w:rsid w:val="00491E25"/>
    <w:rsid w:val="004A73BD"/>
    <w:rsid w:val="004B0A9B"/>
    <w:rsid w:val="004B713C"/>
    <w:rsid w:val="004C0151"/>
    <w:rsid w:val="004C534C"/>
    <w:rsid w:val="004D0E84"/>
    <w:rsid w:val="004D55AB"/>
    <w:rsid w:val="004E7168"/>
    <w:rsid w:val="004F10A1"/>
    <w:rsid w:val="004F29FF"/>
    <w:rsid w:val="004F4E82"/>
    <w:rsid w:val="00500F71"/>
    <w:rsid w:val="005018E0"/>
    <w:rsid w:val="0051491F"/>
    <w:rsid w:val="00514A7E"/>
    <w:rsid w:val="00516882"/>
    <w:rsid w:val="00520875"/>
    <w:rsid w:val="0053118C"/>
    <w:rsid w:val="005349E2"/>
    <w:rsid w:val="00534F7C"/>
    <w:rsid w:val="00540EFB"/>
    <w:rsid w:val="00554A1B"/>
    <w:rsid w:val="0056432B"/>
    <w:rsid w:val="005664BD"/>
    <w:rsid w:val="00576EB8"/>
    <w:rsid w:val="00586CF5"/>
    <w:rsid w:val="00586D7C"/>
    <w:rsid w:val="00592DAE"/>
    <w:rsid w:val="00594D2D"/>
    <w:rsid w:val="0059633B"/>
    <w:rsid w:val="005969C1"/>
    <w:rsid w:val="005D1A1C"/>
    <w:rsid w:val="005D1DDD"/>
    <w:rsid w:val="005D574C"/>
    <w:rsid w:val="005D75F7"/>
    <w:rsid w:val="005E064E"/>
    <w:rsid w:val="005E2438"/>
    <w:rsid w:val="005F170C"/>
    <w:rsid w:val="005F1B1C"/>
    <w:rsid w:val="00616746"/>
    <w:rsid w:val="0062352D"/>
    <w:rsid w:val="00625978"/>
    <w:rsid w:val="00626CB3"/>
    <w:rsid w:val="00627CD4"/>
    <w:rsid w:val="006A3D21"/>
    <w:rsid w:val="006B661C"/>
    <w:rsid w:val="006B7E51"/>
    <w:rsid w:val="006C0233"/>
    <w:rsid w:val="006D0F73"/>
    <w:rsid w:val="006E4727"/>
    <w:rsid w:val="006E60A3"/>
    <w:rsid w:val="00700379"/>
    <w:rsid w:val="007126FD"/>
    <w:rsid w:val="00714BC2"/>
    <w:rsid w:val="00720E91"/>
    <w:rsid w:val="00721B50"/>
    <w:rsid w:val="007276B1"/>
    <w:rsid w:val="00737F2C"/>
    <w:rsid w:val="00757225"/>
    <w:rsid w:val="0076206F"/>
    <w:rsid w:val="00765167"/>
    <w:rsid w:val="00776051"/>
    <w:rsid w:val="0077677C"/>
    <w:rsid w:val="007852F6"/>
    <w:rsid w:val="00791D93"/>
    <w:rsid w:val="00795969"/>
    <w:rsid w:val="007A7709"/>
    <w:rsid w:val="007A7FB3"/>
    <w:rsid w:val="007C1A57"/>
    <w:rsid w:val="007C379D"/>
    <w:rsid w:val="007D6C41"/>
    <w:rsid w:val="007E25EF"/>
    <w:rsid w:val="007F31A6"/>
    <w:rsid w:val="007F32F6"/>
    <w:rsid w:val="007F3ADA"/>
    <w:rsid w:val="008026ED"/>
    <w:rsid w:val="00805CEC"/>
    <w:rsid w:val="0081043A"/>
    <w:rsid w:val="00824BB7"/>
    <w:rsid w:val="0083178B"/>
    <w:rsid w:val="00840792"/>
    <w:rsid w:val="00870E4B"/>
    <w:rsid w:val="00871F6A"/>
    <w:rsid w:val="00877D21"/>
    <w:rsid w:val="00892A8B"/>
    <w:rsid w:val="008932F4"/>
    <w:rsid w:val="008B2B21"/>
    <w:rsid w:val="008B7865"/>
    <w:rsid w:val="008C5CFD"/>
    <w:rsid w:val="008D4765"/>
    <w:rsid w:val="00901DF4"/>
    <w:rsid w:val="0091368B"/>
    <w:rsid w:val="00930408"/>
    <w:rsid w:val="0094180B"/>
    <w:rsid w:val="00943648"/>
    <w:rsid w:val="00956B7B"/>
    <w:rsid w:val="00957D64"/>
    <w:rsid w:val="0097556C"/>
    <w:rsid w:val="00982F5F"/>
    <w:rsid w:val="009A3ED4"/>
    <w:rsid w:val="009A61AC"/>
    <w:rsid w:val="009C4E93"/>
    <w:rsid w:val="009C5161"/>
    <w:rsid w:val="009C6BD0"/>
    <w:rsid w:val="009E556F"/>
    <w:rsid w:val="009E57A1"/>
    <w:rsid w:val="00A15D87"/>
    <w:rsid w:val="00A33A0E"/>
    <w:rsid w:val="00A54E2E"/>
    <w:rsid w:val="00A55B96"/>
    <w:rsid w:val="00A5682D"/>
    <w:rsid w:val="00A7016E"/>
    <w:rsid w:val="00A74A99"/>
    <w:rsid w:val="00A77099"/>
    <w:rsid w:val="00AB38FB"/>
    <w:rsid w:val="00AB4A2F"/>
    <w:rsid w:val="00AB5112"/>
    <w:rsid w:val="00AB5D22"/>
    <w:rsid w:val="00AC183A"/>
    <w:rsid w:val="00AD7505"/>
    <w:rsid w:val="00AD7D31"/>
    <w:rsid w:val="00AE323E"/>
    <w:rsid w:val="00AF3F17"/>
    <w:rsid w:val="00AF57C7"/>
    <w:rsid w:val="00B00683"/>
    <w:rsid w:val="00B02C36"/>
    <w:rsid w:val="00B04D9B"/>
    <w:rsid w:val="00B24315"/>
    <w:rsid w:val="00B26C6F"/>
    <w:rsid w:val="00B330E9"/>
    <w:rsid w:val="00B4530A"/>
    <w:rsid w:val="00B51879"/>
    <w:rsid w:val="00B61237"/>
    <w:rsid w:val="00B61B0C"/>
    <w:rsid w:val="00B74B6C"/>
    <w:rsid w:val="00B74D78"/>
    <w:rsid w:val="00B75B27"/>
    <w:rsid w:val="00B92064"/>
    <w:rsid w:val="00BB2324"/>
    <w:rsid w:val="00BC2377"/>
    <w:rsid w:val="00BC723C"/>
    <w:rsid w:val="00BD3B3A"/>
    <w:rsid w:val="00BE1BF0"/>
    <w:rsid w:val="00BE347E"/>
    <w:rsid w:val="00BE66D5"/>
    <w:rsid w:val="00C13183"/>
    <w:rsid w:val="00C32E12"/>
    <w:rsid w:val="00C437AF"/>
    <w:rsid w:val="00C57E8A"/>
    <w:rsid w:val="00C70276"/>
    <w:rsid w:val="00C725D2"/>
    <w:rsid w:val="00C73A43"/>
    <w:rsid w:val="00C766DE"/>
    <w:rsid w:val="00C90F79"/>
    <w:rsid w:val="00CA45EF"/>
    <w:rsid w:val="00CB07D5"/>
    <w:rsid w:val="00CC1B9C"/>
    <w:rsid w:val="00CC6793"/>
    <w:rsid w:val="00CE54C0"/>
    <w:rsid w:val="00CF2DB8"/>
    <w:rsid w:val="00CF6865"/>
    <w:rsid w:val="00D23FDC"/>
    <w:rsid w:val="00D25473"/>
    <w:rsid w:val="00D27B9D"/>
    <w:rsid w:val="00D37AA0"/>
    <w:rsid w:val="00D46AD4"/>
    <w:rsid w:val="00D54194"/>
    <w:rsid w:val="00D632B5"/>
    <w:rsid w:val="00D8697F"/>
    <w:rsid w:val="00D87E3B"/>
    <w:rsid w:val="00DA16CB"/>
    <w:rsid w:val="00DA2668"/>
    <w:rsid w:val="00DA3434"/>
    <w:rsid w:val="00DA7086"/>
    <w:rsid w:val="00DA782E"/>
    <w:rsid w:val="00DB40B3"/>
    <w:rsid w:val="00E0164C"/>
    <w:rsid w:val="00E10585"/>
    <w:rsid w:val="00E12D1C"/>
    <w:rsid w:val="00E20238"/>
    <w:rsid w:val="00E20759"/>
    <w:rsid w:val="00E20C29"/>
    <w:rsid w:val="00E3319F"/>
    <w:rsid w:val="00E44505"/>
    <w:rsid w:val="00E61F84"/>
    <w:rsid w:val="00E73382"/>
    <w:rsid w:val="00E74062"/>
    <w:rsid w:val="00E81F77"/>
    <w:rsid w:val="00EB0531"/>
    <w:rsid w:val="00EB76A6"/>
    <w:rsid w:val="00EC18B1"/>
    <w:rsid w:val="00EE3DF2"/>
    <w:rsid w:val="00EE6309"/>
    <w:rsid w:val="00EF10D2"/>
    <w:rsid w:val="00EF7B2D"/>
    <w:rsid w:val="00F056E5"/>
    <w:rsid w:val="00F14C5D"/>
    <w:rsid w:val="00F35304"/>
    <w:rsid w:val="00F35F2D"/>
    <w:rsid w:val="00F407B0"/>
    <w:rsid w:val="00F422AE"/>
    <w:rsid w:val="00F50249"/>
    <w:rsid w:val="00F67B85"/>
    <w:rsid w:val="00F81F90"/>
    <w:rsid w:val="00F97697"/>
    <w:rsid w:val="00F976FE"/>
    <w:rsid w:val="00FA3800"/>
    <w:rsid w:val="00FC77F6"/>
    <w:rsid w:val="00FD228B"/>
    <w:rsid w:val="00FE1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409B4"/>
  <w14:defaultImageDpi w14:val="32767"/>
  <w15:chartTrackingRefBased/>
  <w15:docId w15:val="{23A30FBD-84A0-5547-916D-8EFA916A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F4E82"/>
    <w:rPr>
      <w:color w:val="0563C1" w:themeColor="hyperlink"/>
      <w:u w:val="single"/>
    </w:rPr>
  </w:style>
  <w:style w:type="character" w:styleId="UnresolvedMention">
    <w:name w:val="Unresolved Mention"/>
    <w:basedOn w:val="DefaultParagraphFont"/>
    <w:uiPriority w:val="99"/>
    <w:rsid w:val="004F4E82"/>
    <w:rPr>
      <w:color w:val="605E5C"/>
      <w:shd w:val="clear" w:color="auto" w:fill="E1DFDD"/>
    </w:rPr>
  </w:style>
  <w:style w:type="paragraph" w:styleId="Header">
    <w:name w:val="header"/>
    <w:basedOn w:val="Normal"/>
    <w:link w:val="HeaderChar"/>
    <w:uiPriority w:val="99"/>
    <w:unhideWhenUsed/>
    <w:rsid w:val="00322F43"/>
    <w:pPr>
      <w:tabs>
        <w:tab w:val="center" w:pos="4680"/>
        <w:tab w:val="right" w:pos="9360"/>
      </w:tabs>
    </w:pPr>
  </w:style>
  <w:style w:type="character" w:customStyle="1" w:styleId="HeaderChar">
    <w:name w:val="Header Char"/>
    <w:basedOn w:val="DefaultParagraphFont"/>
    <w:link w:val="Header"/>
    <w:uiPriority w:val="99"/>
    <w:rsid w:val="00322F43"/>
  </w:style>
  <w:style w:type="paragraph" w:styleId="Footer">
    <w:name w:val="footer"/>
    <w:basedOn w:val="Normal"/>
    <w:link w:val="FooterChar"/>
    <w:uiPriority w:val="99"/>
    <w:unhideWhenUsed/>
    <w:rsid w:val="00322F43"/>
    <w:pPr>
      <w:tabs>
        <w:tab w:val="center" w:pos="4680"/>
        <w:tab w:val="right" w:pos="9360"/>
      </w:tabs>
    </w:pPr>
  </w:style>
  <w:style w:type="character" w:customStyle="1" w:styleId="FooterChar">
    <w:name w:val="Footer Char"/>
    <w:basedOn w:val="DefaultParagraphFont"/>
    <w:link w:val="Footer"/>
    <w:uiPriority w:val="99"/>
    <w:rsid w:val="00322F43"/>
  </w:style>
  <w:style w:type="character" w:styleId="PlaceholderText">
    <w:name w:val="Placeholder Text"/>
    <w:basedOn w:val="DefaultParagraphFont"/>
    <w:uiPriority w:val="99"/>
    <w:semiHidden/>
    <w:rsid w:val="001E0951"/>
    <w:rPr>
      <w:color w:val="808080"/>
    </w:rPr>
  </w:style>
  <w:style w:type="paragraph" w:styleId="ListParagraph">
    <w:name w:val="List Paragraph"/>
    <w:basedOn w:val="Normal"/>
    <w:uiPriority w:val="34"/>
    <w:qFormat/>
    <w:rsid w:val="00FE17DF"/>
    <w:pPr>
      <w:ind w:left="720"/>
      <w:contextualSpacing/>
    </w:pPr>
  </w:style>
  <w:style w:type="table" w:styleId="TableGrid">
    <w:name w:val="Table Grid"/>
    <w:basedOn w:val="TableNormal"/>
    <w:uiPriority w:val="39"/>
    <w:rsid w:val="00E8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6991">
      <w:bodyDiv w:val="1"/>
      <w:marLeft w:val="0"/>
      <w:marRight w:val="0"/>
      <w:marTop w:val="0"/>
      <w:marBottom w:val="0"/>
      <w:divBdr>
        <w:top w:val="none" w:sz="0" w:space="0" w:color="auto"/>
        <w:left w:val="none" w:sz="0" w:space="0" w:color="auto"/>
        <w:bottom w:val="none" w:sz="0" w:space="0" w:color="auto"/>
        <w:right w:val="none" w:sz="0" w:space="0" w:color="auto"/>
      </w:divBdr>
    </w:div>
    <w:div w:id="712927576">
      <w:bodyDiv w:val="1"/>
      <w:marLeft w:val="0"/>
      <w:marRight w:val="0"/>
      <w:marTop w:val="0"/>
      <w:marBottom w:val="0"/>
      <w:divBdr>
        <w:top w:val="none" w:sz="0" w:space="0" w:color="auto"/>
        <w:left w:val="none" w:sz="0" w:space="0" w:color="auto"/>
        <w:bottom w:val="none" w:sz="0" w:space="0" w:color="auto"/>
        <w:right w:val="none" w:sz="0" w:space="0" w:color="auto"/>
      </w:divBdr>
      <w:divsChild>
        <w:div w:id="1928540769">
          <w:marLeft w:val="547"/>
          <w:marRight w:val="0"/>
          <w:marTop w:val="134"/>
          <w:marBottom w:val="0"/>
          <w:divBdr>
            <w:top w:val="none" w:sz="0" w:space="0" w:color="auto"/>
            <w:left w:val="none" w:sz="0" w:space="0" w:color="auto"/>
            <w:bottom w:val="none" w:sz="0" w:space="0" w:color="auto"/>
            <w:right w:val="none" w:sz="0" w:space="0" w:color="auto"/>
          </w:divBdr>
        </w:div>
        <w:div w:id="1376347029">
          <w:marLeft w:val="1166"/>
          <w:marRight w:val="0"/>
          <w:marTop w:val="115"/>
          <w:marBottom w:val="0"/>
          <w:divBdr>
            <w:top w:val="none" w:sz="0" w:space="0" w:color="auto"/>
            <w:left w:val="none" w:sz="0" w:space="0" w:color="auto"/>
            <w:bottom w:val="none" w:sz="0" w:space="0" w:color="auto"/>
            <w:right w:val="none" w:sz="0" w:space="0" w:color="auto"/>
          </w:divBdr>
        </w:div>
        <w:div w:id="1577594138">
          <w:marLeft w:val="1166"/>
          <w:marRight w:val="0"/>
          <w:marTop w:val="115"/>
          <w:marBottom w:val="0"/>
          <w:divBdr>
            <w:top w:val="none" w:sz="0" w:space="0" w:color="auto"/>
            <w:left w:val="none" w:sz="0" w:space="0" w:color="auto"/>
            <w:bottom w:val="none" w:sz="0" w:space="0" w:color="auto"/>
            <w:right w:val="none" w:sz="0" w:space="0" w:color="auto"/>
          </w:divBdr>
        </w:div>
        <w:div w:id="778183475">
          <w:marLeft w:val="547"/>
          <w:marRight w:val="0"/>
          <w:marTop w:val="134"/>
          <w:marBottom w:val="0"/>
          <w:divBdr>
            <w:top w:val="none" w:sz="0" w:space="0" w:color="auto"/>
            <w:left w:val="none" w:sz="0" w:space="0" w:color="auto"/>
            <w:bottom w:val="none" w:sz="0" w:space="0" w:color="auto"/>
            <w:right w:val="none" w:sz="0" w:space="0" w:color="auto"/>
          </w:divBdr>
        </w:div>
        <w:div w:id="1786466733">
          <w:marLeft w:val="1166"/>
          <w:marRight w:val="0"/>
          <w:marTop w:val="115"/>
          <w:marBottom w:val="0"/>
          <w:divBdr>
            <w:top w:val="none" w:sz="0" w:space="0" w:color="auto"/>
            <w:left w:val="none" w:sz="0" w:space="0" w:color="auto"/>
            <w:bottom w:val="none" w:sz="0" w:space="0" w:color="auto"/>
            <w:right w:val="none" w:sz="0" w:space="0" w:color="auto"/>
          </w:divBdr>
        </w:div>
        <w:div w:id="1472481292">
          <w:marLeft w:val="1166"/>
          <w:marRight w:val="0"/>
          <w:marTop w:val="115"/>
          <w:marBottom w:val="0"/>
          <w:divBdr>
            <w:top w:val="none" w:sz="0" w:space="0" w:color="auto"/>
            <w:left w:val="none" w:sz="0" w:space="0" w:color="auto"/>
            <w:bottom w:val="none" w:sz="0" w:space="0" w:color="auto"/>
            <w:right w:val="none" w:sz="0" w:space="0" w:color="auto"/>
          </w:divBdr>
        </w:div>
        <w:div w:id="839584378">
          <w:marLeft w:val="547"/>
          <w:marRight w:val="0"/>
          <w:marTop w:val="134"/>
          <w:marBottom w:val="0"/>
          <w:divBdr>
            <w:top w:val="none" w:sz="0" w:space="0" w:color="auto"/>
            <w:left w:val="none" w:sz="0" w:space="0" w:color="auto"/>
            <w:bottom w:val="none" w:sz="0" w:space="0" w:color="auto"/>
            <w:right w:val="none" w:sz="0" w:space="0" w:color="auto"/>
          </w:divBdr>
        </w:div>
        <w:div w:id="452402185">
          <w:marLeft w:val="547"/>
          <w:marRight w:val="0"/>
          <w:marTop w:val="134"/>
          <w:marBottom w:val="0"/>
          <w:divBdr>
            <w:top w:val="none" w:sz="0" w:space="0" w:color="auto"/>
            <w:left w:val="none" w:sz="0" w:space="0" w:color="auto"/>
            <w:bottom w:val="none" w:sz="0" w:space="0" w:color="auto"/>
            <w:right w:val="none" w:sz="0" w:space="0" w:color="auto"/>
          </w:divBdr>
        </w:div>
        <w:div w:id="121921339">
          <w:marLeft w:val="547"/>
          <w:marRight w:val="0"/>
          <w:marTop w:val="134"/>
          <w:marBottom w:val="0"/>
          <w:divBdr>
            <w:top w:val="none" w:sz="0" w:space="0" w:color="auto"/>
            <w:left w:val="none" w:sz="0" w:space="0" w:color="auto"/>
            <w:bottom w:val="none" w:sz="0" w:space="0" w:color="auto"/>
            <w:right w:val="none" w:sz="0" w:space="0" w:color="auto"/>
          </w:divBdr>
        </w:div>
        <w:div w:id="1817800330">
          <w:marLeft w:val="547"/>
          <w:marRight w:val="0"/>
          <w:marTop w:val="134"/>
          <w:marBottom w:val="0"/>
          <w:divBdr>
            <w:top w:val="none" w:sz="0" w:space="0" w:color="auto"/>
            <w:left w:val="none" w:sz="0" w:space="0" w:color="auto"/>
            <w:bottom w:val="none" w:sz="0" w:space="0" w:color="auto"/>
            <w:right w:val="none" w:sz="0" w:space="0" w:color="auto"/>
          </w:divBdr>
        </w:div>
        <w:div w:id="560823643">
          <w:marLeft w:val="547"/>
          <w:marRight w:val="0"/>
          <w:marTop w:val="134"/>
          <w:marBottom w:val="0"/>
          <w:divBdr>
            <w:top w:val="none" w:sz="0" w:space="0" w:color="auto"/>
            <w:left w:val="none" w:sz="0" w:space="0" w:color="auto"/>
            <w:bottom w:val="none" w:sz="0" w:space="0" w:color="auto"/>
            <w:right w:val="none" w:sz="0" w:space="0" w:color="auto"/>
          </w:divBdr>
        </w:div>
      </w:divsChild>
    </w:div>
    <w:div w:id="840043487">
      <w:bodyDiv w:val="1"/>
      <w:marLeft w:val="0"/>
      <w:marRight w:val="0"/>
      <w:marTop w:val="0"/>
      <w:marBottom w:val="0"/>
      <w:divBdr>
        <w:top w:val="none" w:sz="0" w:space="0" w:color="auto"/>
        <w:left w:val="none" w:sz="0" w:space="0" w:color="auto"/>
        <w:bottom w:val="none" w:sz="0" w:space="0" w:color="auto"/>
        <w:right w:val="none" w:sz="0" w:space="0" w:color="auto"/>
      </w:divBdr>
    </w:div>
    <w:div w:id="889920283">
      <w:bodyDiv w:val="1"/>
      <w:marLeft w:val="0"/>
      <w:marRight w:val="0"/>
      <w:marTop w:val="0"/>
      <w:marBottom w:val="0"/>
      <w:divBdr>
        <w:top w:val="none" w:sz="0" w:space="0" w:color="auto"/>
        <w:left w:val="none" w:sz="0" w:space="0" w:color="auto"/>
        <w:bottom w:val="none" w:sz="0" w:space="0" w:color="auto"/>
        <w:right w:val="none" w:sz="0" w:space="0" w:color="auto"/>
      </w:divBdr>
    </w:div>
    <w:div w:id="999236754">
      <w:bodyDiv w:val="1"/>
      <w:marLeft w:val="0"/>
      <w:marRight w:val="0"/>
      <w:marTop w:val="0"/>
      <w:marBottom w:val="0"/>
      <w:divBdr>
        <w:top w:val="none" w:sz="0" w:space="0" w:color="auto"/>
        <w:left w:val="none" w:sz="0" w:space="0" w:color="auto"/>
        <w:bottom w:val="none" w:sz="0" w:space="0" w:color="auto"/>
        <w:right w:val="none" w:sz="0" w:space="0" w:color="auto"/>
      </w:divBdr>
    </w:div>
    <w:div w:id="1338144888">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547909134">
      <w:bodyDiv w:val="1"/>
      <w:marLeft w:val="0"/>
      <w:marRight w:val="0"/>
      <w:marTop w:val="0"/>
      <w:marBottom w:val="0"/>
      <w:divBdr>
        <w:top w:val="none" w:sz="0" w:space="0" w:color="auto"/>
        <w:left w:val="none" w:sz="0" w:space="0" w:color="auto"/>
        <w:bottom w:val="none" w:sz="0" w:space="0" w:color="auto"/>
        <w:right w:val="none" w:sz="0" w:space="0" w:color="auto"/>
      </w:divBdr>
      <w:divsChild>
        <w:div w:id="356858190">
          <w:marLeft w:val="547"/>
          <w:marRight w:val="0"/>
          <w:marTop w:val="134"/>
          <w:marBottom w:val="0"/>
          <w:divBdr>
            <w:top w:val="none" w:sz="0" w:space="0" w:color="auto"/>
            <w:left w:val="none" w:sz="0" w:space="0" w:color="auto"/>
            <w:bottom w:val="none" w:sz="0" w:space="0" w:color="auto"/>
            <w:right w:val="none" w:sz="0" w:space="0" w:color="auto"/>
          </w:divBdr>
        </w:div>
        <w:div w:id="793792966">
          <w:marLeft w:val="1166"/>
          <w:marRight w:val="0"/>
          <w:marTop w:val="115"/>
          <w:marBottom w:val="0"/>
          <w:divBdr>
            <w:top w:val="none" w:sz="0" w:space="0" w:color="auto"/>
            <w:left w:val="none" w:sz="0" w:space="0" w:color="auto"/>
            <w:bottom w:val="none" w:sz="0" w:space="0" w:color="auto"/>
            <w:right w:val="none" w:sz="0" w:space="0" w:color="auto"/>
          </w:divBdr>
        </w:div>
        <w:div w:id="1220750679">
          <w:marLeft w:val="1166"/>
          <w:marRight w:val="0"/>
          <w:marTop w:val="115"/>
          <w:marBottom w:val="0"/>
          <w:divBdr>
            <w:top w:val="none" w:sz="0" w:space="0" w:color="auto"/>
            <w:left w:val="none" w:sz="0" w:space="0" w:color="auto"/>
            <w:bottom w:val="none" w:sz="0" w:space="0" w:color="auto"/>
            <w:right w:val="none" w:sz="0" w:space="0" w:color="auto"/>
          </w:divBdr>
        </w:div>
        <w:div w:id="84035630">
          <w:marLeft w:val="547"/>
          <w:marRight w:val="0"/>
          <w:marTop w:val="134"/>
          <w:marBottom w:val="0"/>
          <w:divBdr>
            <w:top w:val="none" w:sz="0" w:space="0" w:color="auto"/>
            <w:left w:val="none" w:sz="0" w:space="0" w:color="auto"/>
            <w:bottom w:val="none" w:sz="0" w:space="0" w:color="auto"/>
            <w:right w:val="none" w:sz="0" w:space="0" w:color="auto"/>
          </w:divBdr>
        </w:div>
        <w:div w:id="1405488077">
          <w:marLeft w:val="1166"/>
          <w:marRight w:val="0"/>
          <w:marTop w:val="115"/>
          <w:marBottom w:val="0"/>
          <w:divBdr>
            <w:top w:val="none" w:sz="0" w:space="0" w:color="auto"/>
            <w:left w:val="none" w:sz="0" w:space="0" w:color="auto"/>
            <w:bottom w:val="none" w:sz="0" w:space="0" w:color="auto"/>
            <w:right w:val="none" w:sz="0" w:space="0" w:color="auto"/>
          </w:divBdr>
        </w:div>
        <w:div w:id="1612055409">
          <w:marLeft w:val="1166"/>
          <w:marRight w:val="0"/>
          <w:marTop w:val="115"/>
          <w:marBottom w:val="0"/>
          <w:divBdr>
            <w:top w:val="none" w:sz="0" w:space="0" w:color="auto"/>
            <w:left w:val="none" w:sz="0" w:space="0" w:color="auto"/>
            <w:bottom w:val="none" w:sz="0" w:space="0" w:color="auto"/>
            <w:right w:val="none" w:sz="0" w:space="0" w:color="auto"/>
          </w:divBdr>
        </w:div>
        <w:div w:id="858742109">
          <w:marLeft w:val="547"/>
          <w:marRight w:val="0"/>
          <w:marTop w:val="134"/>
          <w:marBottom w:val="0"/>
          <w:divBdr>
            <w:top w:val="none" w:sz="0" w:space="0" w:color="auto"/>
            <w:left w:val="none" w:sz="0" w:space="0" w:color="auto"/>
            <w:bottom w:val="none" w:sz="0" w:space="0" w:color="auto"/>
            <w:right w:val="none" w:sz="0" w:space="0" w:color="auto"/>
          </w:divBdr>
        </w:div>
        <w:div w:id="972057302">
          <w:marLeft w:val="547"/>
          <w:marRight w:val="0"/>
          <w:marTop w:val="134"/>
          <w:marBottom w:val="0"/>
          <w:divBdr>
            <w:top w:val="none" w:sz="0" w:space="0" w:color="auto"/>
            <w:left w:val="none" w:sz="0" w:space="0" w:color="auto"/>
            <w:bottom w:val="none" w:sz="0" w:space="0" w:color="auto"/>
            <w:right w:val="none" w:sz="0" w:space="0" w:color="auto"/>
          </w:divBdr>
        </w:div>
        <w:div w:id="1616643714">
          <w:marLeft w:val="547"/>
          <w:marRight w:val="0"/>
          <w:marTop w:val="134"/>
          <w:marBottom w:val="0"/>
          <w:divBdr>
            <w:top w:val="none" w:sz="0" w:space="0" w:color="auto"/>
            <w:left w:val="none" w:sz="0" w:space="0" w:color="auto"/>
            <w:bottom w:val="none" w:sz="0" w:space="0" w:color="auto"/>
            <w:right w:val="none" w:sz="0" w:space="0" w:color="auto"/>
          </w:divBdr>
        </w:div>
        <w:div w:id="372534122">
          <w:marLeft w:val="547"/>
          <w:marRight w:val="0"/>
          <w:marTop w:val="134"/>
          <w:marBottom w:val="0"/>
          <w:divBdr>
            <w:top w:val="none" w:sz="0" w:space="0" w:color="auto"/>
            <w:left w:val="none" w:sz="0" w:space="0" w:color="auto"/>
            <w:bottom w:val="none" w:sz="0" w:space="0" w:color="auto"/>
            <w:right w:val="none" w:sz="0" w:space="0" w:color="auto"/>
          </w:divBdr>
        </w:div>
        <w:div w:id="775442343">
          <w:marLeft w:val="547"/>
          <w:marRight w:val="0"/>
          <w:marTop w:val="134"/>
          <w:marBottom w:val="0"/>
          <w:divBdr>
            <w:top w:val="none" w:sz="0" w:space="0" w:color="auto"/>
            <w:left w:val="none" w:sz="0" w:space="0" w:color="auto"/>
            <w:bottom w:val="none" w:sz="0" w:space="0" w:color="auto"/>
            <w:right w:val="none" w:sz="0" w:space="0" w:color="auto"/>
          </w:divBdr>
        </w:div>
      </w:divsChild>
    </w:div>
    <w:div w:id="1633948093">
      <w:bodyDiv w:val="1"/>
      <w:marLeft w:val="0"/>
      <w:marRight w:val="0"/>
      <w:marTop w:val="0"/>
      <w:marBottom w:val="0"/>
      <w:divBdr>
        <w:top w:val="none" w:sz="0" w:space="0" w:color="auto"/>
        <w:left w:val="none" w:sz="0" w:space="0" w:color="auto"/>
        <w:bottom w:val="none" w:sz="0" w:space="0" w:color="auto"/>
        <w:right w:val="none" w:sz="0" w:space="0" w:color="auto"/>
      </w:divBdr>
    </w:div>
    <w:div w:id="1957788383">
      <w:bodyDiv w:val="1"/>
      <w:marLeft w:val="0"/>
      <w:marRight w:val="0"/>
      <w:marTop w:val="0"/>
      <w:marBottom w:val="0"/>
      <w:divBdr>
        <w:top w:val="none" w:sz="0" w:space="0" w:color="auto"/>
        <w:left w:val="none" w:sz="0" w:space="0" w:color="auto"/>
        <w:bottom w:val="none" w:sz="0" w:space="0" w:color="auto"/>
        <w:right w:val="none" w:sz="0" w:space="0" w:color="auto"/>
      </w:divBdr>
    </w:div>
    <w:div w:id="198535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76</cp:revision>
  <dcterms:created xsi:type="dcterms:W3CDTF">2020-03-30T16:50:00Z</dcterms:created>
  <dcterms:modified xsi:type="dcterms:W3CDTF">2024-03-04T18:05:00Z</dcterms:modified>
</cp:coreProperties>
</file>