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D4" w:rsidRPr="00AE6FA7" w:rsidRDefault="00220484" w:rsidP="00220484">
      <w:pPr>
        <w:jc w:val="center"/>
        <w:rPr>
          <w:color w:val="C00000"/>
          <w:sz w:val="32"/>
          <w:szCs w:val="32"/>
        </w:rPr>
      </w:pPr>
      <w:r w:rsidRPr="00DC4ED3">
        <w:rPr>
          <w:i/>
          <w:color w:val="000000" w:themeColor="text1"/>
          <w:sz w:val="32"/>
          <w:szCs w:val="32"/>
        </w:rPr>
        <w:t>C&amp;E News</w:t>
      </w:r>
      <w:r w:rsidRPr="00AE6FA7">
        <w:rPr>
          <w:color w:val="000000" w:themeColor="text1"/>
          <w:sz w:val="32"/>
          <w:szCs w:val="32"/>
        </w:rPr>
        <w:t xml:space="preserve"> as a Starting Point for Bioinorganic Literature Discussions</w:t>
      </w:r>
    </w:p>
    <w:p w:rsidR="00434ED4" w:rsidRPr="00AE6FA7" w:rsidRDefault="00434ED4" w:rsidP="00E70055">
      <w:pPr>
        <w:ind w:left="720"/>
        <w:rPr>
          <w:color w:val="000000" w:themeColor="text1"/>
          <w:szCs w:val="24"/>
        </w:rPr>
      </w:pPr>
    </w:p>
    <w:p w:rsidR="00AE6FA7" w:rsidRPr="00AE6FA7" w:rsidRDefault="00AE6FA7" w:rsidP="00AE6FA7">
      <w:pPr>
        <w:jc w:val="center"/>
        <w:rPr>
          <w:color w:val="000000" w:themeColor="text1"/>
          <w:szCs w:val="24"/>
        </w:rPr>
      </w:pPr>
      <w:r w:rsidRPr="00AE6FA7">
        <w:rPr>
          <w:color w:val="000000" w:themeColor="text1"/>
          <w:szCs w:val="24"/>
        </w:rPr>
        <w:t>Christopher T. Bailey</w:t>
      </w:r>
    </w:p>
    <w:p w:rsidR="00AE6FA7" w:rsidRPr="00AE6FA7" w:rsidRDefault="00AE6FA7" w:rsidP="00AE6FA7">
      <w:pPr>
        <w:jc w:val="center"/>
        <w:rPr>
          <w:color w:val="000000" w:themeColor="text1"/>
          <w:szCs w:val="24"/>
        </w:rPr>
      </w:pPr>
      <w:r w:rsidRPr="00AE6FA7">
        <w:rPr>
          <w:color w:val="000000" w:themeColor="text1"/>
          <w:szCs w:val="24"/>
        </w:rPr>
        <w:t>Professor of Chemistry</w:t>
      </w:r>
    </w:p>
    <w:p w:rsidR="00AE6FA7" w:rsidRPr="00AE6FA7" w:rsidRDefault="00AE6FA7" w:rsidP="00AE6FA7">
      <w:pPr>
        <w:jc w:val="center"/>
        <w:rPr>
          <w:color w:val="000000" w:themeColor="text1"/>
          <w:szCs w:val="24"/>
        </w:rPr>
      </w:pPr>
      <w:r w:rsidRPr="00AE6FA7">
        <w:rPr>
          <w:color w:val="000000" w:themeColor="text1"/>
          <w:szCs w:val="24"/>
        </w:rPr>
        <w:t>Wells College</w:t>
      </w:r>
    </w:p>
    <w:p w:rsidR="00AE6FA7" w:rsidRDefault="00AE6FA7" w:rsidP="00E70055">
      <w:pPr>
        <w:ind w:left="720"/>
        <w:rPr>
          <w:color w:val="000000" w:themeColor="text1"/>
          <w:sz w:val="20"/>
          <w:szCs w:val="22"/>
        </w:rPr>
      </w:pPr>
    </w:p>
    <w:p w:rsidR="0071731C" w:rsidRDefault="00AE6FA7" w:rsidP="00AE6FA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The references </w:t>
      </w:r>
      <w:r w:rsidR="00EF4275">
        <w:rPr>
          <w:color w:val="000000" w:themeColor="text1"/>
          <w:szCs w:val="24"/>
        </w:rPr>
        <w:t xml:space="preserve">given </w:t>
      </w:r>
      <w:r>
        <w:rPr>
          <w:color w:val="000000" w:themeColor="text1"/>
          <w:szCs w:val="24"/>
        </w:rPr>
        <w:t xml:space="preserve">in red </w:t>
      </w:r>
      <w:r w:rsidR="008D165B">
        <w:rPr>
          <w:color w:val="000000" w:themeColor="text1"/>
          <w:szCs w:val="24"/>
        </w:rPr>
        <w:t>on the following pages</w:t>
      </w:r>
      <w:r>
        <w:rPr>
          <w:color w:val="000000" w:themeColor="text1"/>
          <w:szCs w:val="24"/>
        </w:rPr>
        <w:t xml:space="preserve"> </w:t>
      </w:r>
      <w:r w:rsidR="00DC4ED3">
        <w:rPr>
          <w:color w:val="000000" w:themeColor="text1"/>
          <w:szCs w:val="24"/>
        </w:rPr>
        <w:t>have been</w:t>
      </w:r>
      <w:r>
        <w:rPr>
          <w:color w:val="000000" w:themeColor="text1"/>
          <w:szCs w:val="24"/>
        </w:rPr>
        <w:t xml:space="preserve"> collected from C&amp;E News</w:t>
      </w:r>
      <w:r w:rsidR="0076568B">
        <w:rPr>
          <w:color w:val="000000" w:themeColor="text1"/>
          <w:szCs w:val="24"/>
        </w:rPr>
        <w:t xml:space="preserve"> over the past 15 years (1999-2014)</w:t>
      </w:r>
      <w:r>
        <w:rPr>
          <w:color w:val="000000" w:themeColor="text1"/>
          <w:szCs w:val="24"/>
        </w:rPr>
        <w:t xml:space="preserve">; many come from the Science and Technology Concentrates, some from News of the Week, others are full articles, and a few are letters to the editor. </w:t>
      </w:r>
      <w:r w:rsidR="0076568B">
        <w:rPr>
          <w:color w:val="000000" w:themeColor="text1"/>
          <w:szCs w:val="24"/>
        </w:rPr>
        <w:t xml:space="preserve">They cover a wide variety of topics in bioinorganic chemistry. Where appropriate, a reference </w:t>
      </w:r>
      <w:r w:rsidR="0071731C">
        <w:rPr>
          <w:color w:val="000000" w:themeColor="text1"/>
          <w:szCs w:val="24"/>
        </w:rPr>
        <w:t xml:space="preserve">for </w:t>
      </w:r>
      <w:r w:rsidR="0076568B">
        <w:rPr>
          <w:color w:val="000000" w:themeColor="text1"/>
          <w:szCs w:val="24"/>
        </w:rPr>
        <w:t>the primary literature paper which was referred to in the C&amp;E News article</w:t>
      </w:r>
      <w:r w:rsidR="00DC4ED3">
        <w:rPr>
          <w:color w:val="000000" w:themeColor="text1"/>
          <w:szCs w:val="24"/>
        </w:rPr>
        <w:t xml:space="preserve"> is included</w:t>
      </w:r>
      <w:r w:rsidR="0076568B">
        <w:rPr>
          <w:color w:val="000000" w:themeColor="text1"/>
          <w:szCs w:val="24"/>
        </w:rPr>
        <w:t xml:space="preserve">. I typically have students read the article from C&amp;E News prior to reading the </w:t>
      </w:r>
      <w:r w:rsidR="00DC4ED3">
        <w:rPr>
          <w:color w:val="000000" w:themeColor="text1"/>
          <w:szCs w:val="24"/>
        </w:rPr>
        <w:t xml:space="preserve">literature </w:t>
      </w:r>
      <w:r w:rsidR="0071731C">
        <w:rPr>
          <w:color w:val="000000" w:themeColor="text1"/>
          <w:szCs w:val="24"/>
        </w:rPr>
        <w:t>paper;</w:t>
      </w:r>
      <w:r w:rsidR="0076568B">
        <w:rPr>
          <w:color w:val="000000" w:themeColor="text1"/>
          <w:szCs w:val="24"/>
        </w:rPr>
        <w:t xml:space="preserve"> </w:t>
      </w:r>
      <w:r w:rsidR="0071731C">
        <w:rPr>
          <w:color w:val="000000" w:themeColor="text1"/>
          <w:szCs w:val="24"/>
        </w:rPr>
        <w:t>t</w:t>
      </w:r>
      <w:r w:rsidR="00DC4ED3">
        <w:rPr>
          <w:color w:val="000000" w:themeColor="text1"/>
          <w:szCs w:val="24"/>
        </w:rPr>
        <w:t xml:space="preserve">his provides them with an introduction to the paper and helps them focus on </w:t>
      </w:r>
      <w:r w:rsidR="008D165B">
        <w:rPr>
          <w:color w:val="000000" w:themeColor="text1"/>
          <w:szCs w:val="24"/>
        </w:rPr>
        <w:t>its important aspects</w:t>
      </w:r>
      <w:r w:rsidR="00DC4ED3">
        <w:rPr>
          <w:color w:val="000000" w:themeColor="text1"/>
          <w:szCs w:val="24"/>
        </w:rPr>
        <w:t xml:space="preserve">. </w:t>
      </w:r>
      <w:r w:rsidR="0071731C">
        <w:rPr>
          <w:color w:val="000000" w:themeColor="text1"/>
          <w:szCs w:val="24"/>
        </w:rPr>
        <w:t xml:space="preserve">Some of the articles listed do not refer to a specific article from the primary literature, but still make for good introductions to the given topic. </w:t>
      </w:r>
    </w:p>
    <w:p w:rsidR="0071731C" w:rsidRDefault="0071731C" w:rsidP="00AE6FA7">
      <w:pPr>
        <w:rPr>
          <w:color w:val="000000" w:themeColor="text1"/>
          <w:szCs w:val="24"/>
        </w:rPr>
      </w:pPr>
    </w:p>
    <w:p w:rsidR="0071731C" w:rsidRDefault="0071731C" w:rsidP="0071731C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 list is given in reverse chronological order (most recent first). It is not intended to be exhaustive and I encourage the sharing of other examples.</w:t>
      </w:r>
    </w:p>
    <w:p w:rsidR="0071731C" w:rsidRDefault="0071731C" w:rsidP="00AE6FA7">
      <w:pPr>
        <w:rPr>
          <w:color w:val="000000" w:themeColor="text1"/>
          <w:szCs w:val="24"/>
        </w:rPr>
      </w:pPr>
    </w:p>
    <w:p w:rsidR="00AE6FA7" w:rsidRDefault="0076568B" w:rsidP="00AE6FA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At a later point in the semester I give the students a paper from the primary literature and ask them to write a summary article as if for C&amp;E News.</w:t>
      </w:r>
      <w:r w:rsidR="008D165B">
        <w:rPr>
          <w:color w:val="000000" w:themeColor="text1"/>
          <w:szCs w:val="24"/>
        </w:rPr>
        <w:t xml:space="preserve"> This gets them to think about communicating chemistry to a wider audience.</w:t>
      </w:r>
    </w:p>
    <w:p w:rsidR="00DC4ED3" w:rsidRDefault="00DC4ED3" w:rsidP="00AE6FA7">
      <w:pPr>
        <w:rPr>
          <w:color w:val="000000" w:themeColor="text1"/>
          <w:szCs w:val="24"/>
        </w:rPr>
      </w:pPr>
    </w:p>
    <w:p w:rsidR="00DC4ED3" w:rsidRPr="00220484" w:rsidRDefault="00DC4ED3" w:rsidP="00AE6FA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 have used the first two articles</w:t>
      </w:r>
      <w:r w:rsidR="008D165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(about and by Stephen J. </w:t>
      </w:r>
      <w:proofErr w:type="spellStart"/>
      <w:r>
        <w:rPr>
          <w:color w:val="000000" w:themeColor="text1"/>
          <w:szCs w:val="24"/>
        </w:rPr>
        <w:t>Lippard</w:t>
      </w:r>
      <w:proofErr w:type="spellEnd"/>
      <w:r>
        <w:rPr>
          <w:color w:val="000000" w:themeColor="text1"/>
          <w:szCs w:val="24"/>
        </w:rPr>
        <w:t>) as the basis for an exercise following the first day of class. In addition to reading both articles, each student is given one or two note cards wi</w:t>
      </w:r>
      <w:r w:rsidR="0071731C">
        <w:rPr>
          <w:color w:val="000000" w:themeColor="text1"/>
          <w:szCs w:val="24"/>
        </w:rPr>
        <w:t>th the name of an individual,</w:t>
      </w:r>
      <w:r>
        <w:rPr>
          <w:color w:val="000000" w:themeColor="text1"/>
          <w:szCs w:val="24"/>
        </w:rPr>
        <w:t xml:space="preserve"> </w:t>
      </w:r>
      <w:r w:rsidR="00131958">
        <w:rPr>
          <w:color w:val="000000" w:themeColor="text1"/>
          <w:szCs w:val="24"/>
        </w:rPr>
        <w:t xml:space="preserve">a </w:t>
      </w:r>
      <w:r>
        <w:rPr>
          <w:color w:val="000000" w:themeColor="text1"/>
          <w:szCs w:val="24"/>
        </w:rPr>
        <w:t xml:space="preserve">technique, or </w:t>
      </w:r>
      <w:r w:rsidR="00131958">
        <w:rPr>
          <w:color w:val="000000" w:themeColor="text1"/>
          <w:szCs w:val="24"/>
        </w:rPr>
        <w:t>a bioinorganic system</w:t>
      </w:r>
      <w:r>
        <w:rPr>
          <w:color w:val="000000" w:themeColor="text1"/>
          <w:szCs w:val="24"/>
        </w:rPr>
        <w:t xml:space="preserve"> mentioned in the C&amp;E News articles. They have until the next class to put whatever information they deem important on the notecard; this information is shared at the beginning of the next class session. This usually engenders a good discussion and I have found it</w:t>
      </w:r>
      <w:r w:rsidR="00EF4275">
        <w:rPr>
          <w:color w:val="000000" w:themeColor="text1"/>
          <w:szCs w:val="24"/>
        </w:rPr>
        <w:t xml:space="preserve"> to be a good</w:t>
      </w:r>
      <w:r>
        <w:rPr>
          <w:color w:val="000000" w:themeColor="text1"/>
          <w:szCs w:val="24"/>
        </w:rPr>
        <w:t xml:space="preserve"> </w:t>
      </w:r>
      <w:r w:rsidR="00EF4275">
        <w:rPr>
          <w:color w:val="000000" w:themeColor="text1"/>
          <w:szCs w:val="24"/>
        </w:rPr>
        <w:t xml:space="preserve">introduction to the topic and a great </w:t>
      </w:r>
      <w:r>
        <w:rPr>
          <w:color w:val="000000" w:themeColor="text1"/>
          <w:szCs w:val="24"/>
        </w:rPr>
        <w:t>way to show the diversity and the interconnectedness of bioinorganic chemistry.</w:t>
      </w:r>
    </w:p>
    <w:p w:rsidR="00AE6FA7" w:rsidRPr="00220484" w:rsidRDefault="00AE6FA7" w:rsidP="00AE6FA7">
      <w:pPr>
        <w:rPr>
          <w:color w:val="000000" w:themeColor="text1"/>
          <w:sz w:val="20"/>
          <w:szCs w:val="22"/>
        </w:rPr>
      </w:pPr>
    </w:p>
    <w:p w:rsidR="00434ED4" w:rsidRDefault="00434ED4" w:rsidP="00DC4ED3">
      <w:pPr>
        <w:ind w:left="720"/>
        <w:rPr>
          <w:color w:val="C00000"/>
          <w:szCs w:val="24"/>
        </w:rPr>
      </w:pPr>
    </w:p>
    <w:p w:rsidR="00131958" w:rsidRDefault="00131958" w:rsidP="00DC4ED3">
      <w:pPr>
        <w:ind w:left="720"/>
        <w:rPr>
          <w:color w:val="C00000"/>
          <w:szCs w:val="24"/>
        </w:rPr>
      </w:pPr>
    </w:p>
    <w:p w:rsidR="00131958" w:rsidRDefault="00131958">
      <w:pPr>
        <w:rPr>
          <w:color w:val="C00000"/>
          <w:szCs w:val="24"/>
        </w:rPr>
      </w:pPr>
      <w:r>
        <w:rPr>
          <w:color w:val="C00000"/>
          <w:szCs w:val="24"/>
        </w:rPr>
        <w:br w:type="page"/>
      </w:r>
    </w:p>
    <w:p w:rsidR="00BB3EB6" w:rsidRDefault="00BB3EB6" w:rsidP="00131958">
      <w:pPr>
        <w:jc w:val="center"/>
        <w:rPr>
          <w:i/>
          <w:color w:val="000000" w:themeColor="text1"/>
          <w:sz w:val="32"/>
          <w:szCs w:val="32"/>
        </w:rPr>
      </w:pPr>
    </w:p>
    <w:p w:rsidR="00131958" w:rsidRPr="00AE6FA7" w:rsidRDefault="00131958" w:rsidP="00131958">
      <w:pPr>
        <w:jc w:val="center"/>
        <w:rPr>
          <w:color w:val="C00000"/>
          <w:sz w:val="32"/>
          <w:szCs w:val="32"/>
        </w:rPr>
      </w:pPr>
      <w:r w:rsidRPr="00DC4ED3">
        <w:rPr>
          <w:i/>
          <w:color w:val="000000" w:themeColor="text1"/>
          <w:sz w:val="32"/>
          <w:szCs w:val="32"/>
        </w:rPr>
        <w:t>C&amp;E News</w:t>
      </w:r>
      <w:r w:rsidRPr="00AE6FA7">
        <w:rPr>
          <w:color w:val="000000" w:themeColor="text1"/>
          <w:sz w:val="32"/>
          <w:szCs w:val="32"/>
        </w:rPr>
        <w:t xml:space="preserve"> as a Starting Point for Bioinorganic Literature Discussions</w:t>
      </w:r>
    </w:p>
    <w:p w:rsidR="00131958" w:rsidRDefault="00131958" w:rsidP="00DC4ED3">
      <w:pPr>
        <w:ind w:left="720"/>
        <w:rPr>
          <w:color w:val="C00000"/>
          <w:szCs w:val="24"/>
        </w:rPr>
      </w:pPr>
    </w:p>
    <w:p w:rsidR="00131958" w:rsidRPr="00DC4ED3" w:rsidRDefault="00131958" w:rsidP="00DC4ED3">
      <w:pPr>
        <w:ind w:left="720"/>
        <w:rPr>
          <w:color w:val="C00000"/>
          <w:szCs w:val="24"/>
        </w:rPr>
      </w:pPr>
    </w:p>
    <w:p w:rsidR="00325261" w:rsidRDefault="00325261" w:rsidP="00DC4ED3">
      <w:pPr>
        <w:rPr>
          <w:color w:val="C00000"/>
          <w:szCs w:val="24"/>
        </w:rPr>
      </w:pPr>
      <w:r>
        <w:rPr>
          <w:color w:val="C00000"/>
          <w:szCs w:val="24"/>
        </w:rPr>
        <w:t xml:space="preserve">“Carbon Monoxide-Bound </w:t>
      </w:r>
      <w:proofErr w:type="spellStart"/>
      <w:r>
        <w:rPr>
          <w:color w:val="C00000"/>
          <w:szCs w:val="24"/>
        </w:rPr>
        <w:t>Nitrogenase</w:t>
      </w:r>
      <w:proofErr w:type="spellEnd"/>
      <w:r>
        <w:rPr>
          <w:color w:val="C00000"/>
          <w:szCs w:val="24"/>
        </w:rPr>
        <w:t xml:space="preserve"> Structure Solved,” </w:t>
      </w:r>
      <w:r w:rsidRPr="00325261">
        <w:rPr>
          <w:color w:val="C00000"/>
          <w:szCs w:val="24"/>
          <w:u w:val="single"/>
        </w:rPr>
        <w:t>C&amp;E News</w:t>
      </w:r>
      <w:r>
        <w:rPr>
          <w:color w:val="C00000"/>
          <w:szCs w:val="24"/>
        </w:rPr>
        <w:t>, September 29, 2014, p. 30.</w:t>
      </w:r>
    </w:p>
    <w:p w:rsidR="00325261" w:rsidRDefault="00325261" w:rsidP="00954164">
      <w:pPr>
        <w:ind w:left="540"/>
        <w:rPr>
          <w:color w:val="000000" w:themeColor="text1"/>
          <w:szCs w:val="24"/>
        </w:rPr>
      </w:pPr>
      <w:proofErr w:type="spellStart"/>
      <w:r w:rsidRPr="00325261">
        <w:rPr>
          <w:color w:val="000000" w:themeColor="text1"/>
          <w:szCs w:val="24"/>
        </w:rPr>
        <w:t>Spatzal</w:t>
      </w:r>
      <w:proofErr w:type="spellEnd"/>
      <w:r w:rsidRPr="00325261">
        <w:rPr>
          <w:color w:val="000000" w:themeColor="text1"/>
          <w:szCs w:val="24"/>
        </w:rPr>
        <w:t xml:space="preserve">, </w:t>
      </w:r>
      <w:r w:rsidRPr="00325261">
        <w:rPr>
          <w:i/>
          <w:color w:val="000000" w:themeColor="text1"/>
          <w:szCs w:val="24"/>
        </w:rPr>
        <w:t>et al.</w:t>
      </w:r>
      <w:r w:rsidRPr="00325261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“Ligand Binding to the </w:t>
      </w:r>
      <w:proofErr w:type="spellStart"/>
      <w:r>
        <w:rPr>
          <w:color w:val="000000" w:themeColor="text1"/>
          <w:szCs w:val="24"/>
        </w:rPr>
        <w:t>FeMo</w:t>
      </w:r>
      <w:proofErr w:type="spellEnd"/>
      <w:r>
        <w:rPr>
          <w:color w:val="000000" w:themeColor="text1"/>
          <w:szCs w:val="24"/>
        </w:rPr>
        <w:t xml:space="preserve">-cofactor: Structures of CO-bound and Reactivated </w:t>
      </w:r>
      <w:proofErr w:type="spellStart"/>
      <w:r>
        <w:rPr>
          <w:color w:val="000000" w:themeColor="text1"/>
          <w:szCs w:val="24"/>
        </w:rPr>
        <w:t>Nitrogenase</w:t>
      </w:r>
      <w:proofErr w:type="spellEnd"/>
      <w:r>
        <w:rPr>
          <w:color w:val="000000" w:themeColor="text1"/>
          <w:szCs w:val="24"/>
        </w:rPr>
        <w:t xml:space="preserve">,” </w:t>
      </w:r>
      <w:r w:rsidRPr="00954164">
        <w:rPr>
          <w:color w:val="000000" w:themeColor="text1"/>
          <w:szCs w:val="24"/>
          <w:u w:val="single"/>
        </w:rPr>
        <w:t>Science</w:t>
      </w:r>
      <w:r>
        <w:rPr>
          <w:color w:val="000000" w:themeColor="text1"/>
          <w:szCs w:val="24"/>
        </w:rPr>
        <w:t>, 345, 1620-1623 (2014).</w:t>
      </w:r>
    </w:p>
    <w:p w:rsidR="00325261" w:rsidRPr="00325261" w:rsidRDefault="00325261" w:rsidP="00954164">
      <w:pPr>
        <w:ind w:left="54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[DOI: </w:t>
      </w:r>
      <w:r w:rsidR="00954164">
        <w:rPr>
          <w:color w:val="000000" w:themeColor="text1"/>
          <w:szCs w:val="24"/>
        </w:rPr>
        <w:t>10.1126/science.1256679]</w:t>
      </w:r>
    </w:p>
    <w:p w:rsidR="00325261" w:rsidRDefault="00325261" w:rsidP="00DC4ED3">
      <w:pPr>
        <w:rPr>
          <w:color w:val="C00000"/>
          <w:szCs w:val="24"/>
        </w:rPr>
      </w:pPr>
    </w:p>
    <w:p w:rsidR="00325261" w:rsidRDefault="00325261" w:rsidP="00DC4ED3">
      <w:pPr>
        <w:rPr>
          <w:color w:val="C00000"/>
          <w:szCs w:val="24"/>
        </w:rPr>
      </w:pPr>
      <w:r>
        <w:rPr>
          <w:color w:val="C00000"/>
          <w:szCs w:val="24"/>
        </w:rPr>
        <w:t xml:space="preserve">“Natural Product Ferries Antibiotic into Bacteria,” </w:t>
      </w:r>
      <w:r w:rsidRPr="00325261">
        <w:rPr>
          <w:color w:val="C00000"/>
          <w:szCs w:val="24"/>
          <w:u w:val="single"/>
        </w:rPr>
        <w:t>C&amp;E News</w:t>
      </w:r>
      <w:r>
        <w:rPr>
          <w:color w:val="C00000"/>
          <w:szCs w:val="24"/>
        </w:rPr>
        <w:t>, July 14, 2014, p 32.</w:t>
      </w:r>
    </w:p>
    <w:p w:rsidR="00325261" w:rsidRDefault="00325261" w:rsidP="00325261">
      <w:pPr>
        <w:ind w:left="450" w:hanging="45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Zheng &amp; Nolan, “</w:t>
      </w:r>
      <w:proofErr w:type="spellStart"/>
      <w:r>
        <w:rPr>
          <w:color w:val="000000" w:themeColor="text1"/>
          <w:szCs w:val="24"/>
        </w:rPr>
        <w:t>Enterobactin</w:t>
      </w:r>
      <w:proofErr w:type="spellEnd"/>
      <w:r>
        <w:rPr>
          <w:color w:val="000000" w:themeColor="text1"/>
          <w:szCs w:val="24"/>
        </w:rPr>
        <w:t xml:space="preserve">-Mediated Delivery of β-Lactam Antibiotics Enhances Antibacterial Activity </w:t>
      </w:r>
      <w:proofErr w:type="gramStart"/>
      <w:r>
        <w:rPr>
          <w:color w:val="000000" w:themeColor="text1"/>
          <w:szCs w:val="24"/>
        </w:rPr>
        <w:t>Against</w:t>
      </w:r>
      <w:proofErr w:type="gramEnd"/>
      <w:r>
        <w:rPr>
          <w:color w:val="000000" w:themeColor="text1"/>
          <w:szCs w:val="24"/>
        </w:rPr>
        <w:t xml:space="preserve"> Pathogenic </w:t>
      </w:r>
      <w:r w:rsidRPr="00325261">
        <w:rPr>
          <w:i/>
          <w:color w:val="000000" w:themeColor="text1"/>
          <w:szCs w:val="24"/>
        </w:rPr>
        <w:t>Escherichia coli</w:t>
      </w:r>
      <w:r>
        <w:rPr>
          <w:color w:val="000000" w:themeColor="text1"/>
          <w:szCs w:val="24"/>
        </w:rPr>
        <w:t xml:space="preserve">,” </w:t>
      </w:r>
      <w:r w:rsidRPr="00954164">
        <w:rPr>
          <w:color w:val="000000" w:themeColor="text1"/>
          <w:szCs w:val="24"/>
          <w:u w:val="single"/>
        </w:rPr>
        <w:t>J. Am. Chem. Soc</w:t>
      </w:r>
      <w:r>
        <w:rPr>
          <w:color w:val="000000" w:themeColor="text1"/>
          <w:szCs w:val="24"/>
        </w:rPr>
        <w:t>., 136, 9677-9691 (2014).</w:t>
      </w:r>
    </w:p>
    <w:p w:rsidR="00325261" w:rsidRDefault="00325261" w:rsidP="00325261">
      <w:pPr>
        <w:ind w:left="45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[DOI</w:t>
      </w:r>
      <w:proofErr w:type="gramStart"/>
      <w:r>
        <w:rPr>
          <w:color w:val="000000" w:themeColor="text1"/>
          <w:szCs w:val="24"/>
        </w:rPr>
        <w:t>:10.1021</w:t>
      </w:r>
      <w:proofErr w:type="gramEnd"/>
      <w:r>
        <w:rPr>
          <w:color w:val="000000" w:themeColor="text1"/>
          <w:szCs w:val="24"/>
        </w:rPr>
        <w:t>/ja503911p]</w:t>
      </w:r>
    </w:p>
    <w:p w:rsidR="00325261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 </w:t>
      </w:r>
    </w:p>
    <w:p w:rsidR="00E70055" w:rsidRPr="00DC4ED3" w:rsidRDefault="00E70055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“Trail Blazer and Mentor,” </w:t>
      </w:r>
      <w:r w:rsidRPr="00DC4ED3">
        <w:rPr>
          <w:color w:val="C00000"/>
          <w:szCs w:val="24"/>
          <w:u w:val="single"/>
        </w:rPr>
        <w:t>C&amp;E</w:t>
      </w:r>
      <w:r w:rsidR="002F2B3B" w:rsidRPr="00DC4ED3">
        <w:rPr>
          <w:color w:val="C00000"/>
          <w:szCs w:val="24"/>
          <w:u w:val="single"/>
        </w:rPr>
        <w:t xml:space="preserve"> </w:t>
      </w:r>
      <w:r w:rsidRPr="00DC4ED3">
        <w:rPr>
          <w:color w:val="C00000"/>
          <w:szCs w:val="24"/>
          <w:u w:val="single"/>
        </w:rPr>
        <w:t>News</w:t>
      </w:r>
      <w:r w:rsidRPr="00DC4ED3">
        <w:rPr>
          <w:color w:val="C00000"/>
          <w:szCs w:val="24"/>
        </w:rPr>
        <w:t>, March 17, 2014, p 10-13.</w:t>
      </w:r>
    </w:p>
    <w:p w:rsidR="005A3EC3" w:rsidRPr="00DC4ED3" w:rsidRDefault="005A3EC3" w:rsidP="00131958">
      <w:pPr>
        <w:ind w:left="360"/>
        <w:rPr>
          <w:color w:val="C00000"/>
          <w:szCs w:val="24"/>
        </w:rPr>
      </w:pPr>
      <w:r w:rsidRPr="00DC4ED3">
        <w:rPr>
          <w:color w:val="000000" w:themeColor="text1"/>
          <w:szCs w:val="24"/>
        </w:rPr>
        <w:t xml:space="preserve">Biography of Stephen J. </w:t>
      </w:r>
      <w:proofErr w:type="spellStart"/>
      <w:r w:rsidRPr="00DC4ED3">
        <w:rPr>
          <w:color w:val="000000" w:themeColor="text1"/>
          <w:szCs w:val="24"/>
        </w:rPr>
        <w:t>Lippard</w:t>
      </w:r>
      <w:proofErr w:type="spellEnd"/>
      <w:r w:rsidRPr="00DC4ED3">
        <w:rPr>
          <w:color w:val="000000" w:themeColor="text1"/>
          <w:szCs w:val="24"/>
        </w:rPr>
        <w:t>.</w:t>
      </w:r>
    </w:p>
    <w:p w:rsidR="005A3EC3" w:rsidRPr="00DC4ED3" w:rsidRDefault="005A3EC3" w:rsidP="00DC4ED3">
      <w:pPr>
        <w:rPr>
          <w:color w:val="C00000"/>
          <w:szCs w:val="24"/>
        </w:rPr>
      </w:pPr>
    </w:p>
    <w:p w:rsidR="00E70055" w:rsidRPr="00DC4ED3" w:rsidRDefault="00E70055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“The Life of a Professor,” </w:t>
      </w:r>
      <w:r w:rsidRPr="00DC4ED3">
        <w:rPr>
          <w:color w:val="C00000"/>
          <w:szCs w:val="24"/>
          <w:u w:val="single"/>
        </w:rPr>
        <w:t>C&amp;E</w:t>
      </w:r>
      <w:r w:rsidR="002F2B3B" w:rsidRPr="00DC4ED3">
        <w:rPr>
          <w:color w:val="C00000"/>
          <w:szCs w:val="24"/>
          <w:u w:val="single"/>
        </w:rPr>
        <w:t xml:space="preserve"> </w:t>
      </w:r>
      <w:r w:rsidRPr="00DC4ED3">
        <w:rPr>
          <w:color w:val="C00000"/>
          <w:szCs w:val="24"/>
          <w:u w:val="single"/>
        </w:rPr>
        <w:t>News</w:t>
      </w:r>
      <w:r w:rsidRPr="00DC4ED3">
        <w:rPr>
          <w:color w:val="C00000"/>
          <w:szCs w:val="24"/>
        </w:rPr>
        <w:t>, March 17, 2014, p 14-18.</w:t>
      </w:r>
    </w:p>
    <w:p w:rsidR="00DD6043" w:rsidRPr="00DC4ED3" w:rsidRDefault="005A3EC3" w:rsidP="00131958">
      <w:pPr>
        <w:ind w:left="360"/>
        <w:rPr>
          <w:szCs w:val="24"/>
        </w:rPr>
      </w:pPr>
      <w:r w:rsidRPr="00DC4ED3">
        <w:rPr>
          <w:szCs w:val="24"/>
        </w:rPr>
        <w:t xml:space="preserve">Text of Stephen J. </w:t>
      </w:r>
      <w:proofErr w:type="spellStart"/>
      <w:r w:rsidRPr="00DC4ED3">
        <w:rPr>
          <w:szCs w:val="24"/>
        </w:rPr>
        <w:t>Lippard</w:t>
      </w:r>
      <w:proofErr w:type="spellEnd"/>
      <w:r w:rsidRPr="00DC4ED3">
        <w:rPr>
          <w:szCs w:val="24"/>
        </w:rPr>
        <w:t xml:space="preserve"> Priestly Medal Address.</w:t>
      </w:r>
    </w:p>
    <w:p w:rsidR="005A3EC3" w:rsidRPr="00DC4ED3" w:rsidRDefault="005A3EC3" w:rsidP="00DC4ED3">
      <w:pPr>
        <w:rPr>
          <w:szCs w:val="24"/>
        </w:rPr>
      </w:pPr>
    </w:p>
    <w:p w:rsidR="00483671" w:rsidRPr="00DC4ED3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“Targeting Cisplatin to Mitochondria”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</w:t>
      </w:r>
      <w:r w:rsidR="002F2B3B" w:rsidRPr="00DC4ED3">
        <w:rPr>
          <w:color w:val="C00000"/>
          <w:szCs w:val="24"/>
        </w:rPr>
        <w:t xml:space="preserve"> </w:t>
      </w:r>
      <w:r w:rsidRPr="00DC4ED3">
        <w:rPr>
          <w:color w:val="C00000"/>
          <w:szCs w:val="24"/>
        </w:rPr>
        <w:t>November 18, 2013</w:t>
      </w:r>
      <w:r w:rsidR="002F2B3B" w:rsidRPr="00DC4ED3">
        <w:rPr>
          <w:color w:val="C00000"/>
          <w:szCs w:val="24"/>
        </w:rPr>
        <w:t xml:space="preserve">, p 26. </w:t>
      </w:r>
    </w:p>
    <w:p w:rsidR="005A3EC3" w:rsidRPr="00BB3EB6" w:rsidRDefault="002F2B3B" w:rsidP="00DC4ED3">
      <w:pPr>
        <w:rPr>
          <w:color w:val="000000" w:themeColor="text1"/>
          <w:szCs w:val="24"/>
        </w:rPr>
      </w:pPr>
      <w:r w:rsidRPr="00BB3EB6">
        <w:rPr>
          <w:color w:val="000000" w:themeColor="text1"/>
          <w:szCs w:val="24"/>
        </w:rPr>
        <w:t>[DOI</w:t>
      </w:r>
      <w:proofErr w:type="gramStart"/>
      <w:r w:rsidRPr="00BB3EB6">
        <w:rPr>
          <w:color w:val="000000" w:themeColor="text1"/>
          <w:szCs w:val="24"/>
        </w:rPr>
        <w:t>:10.1021</w:t>
      </w:r>
      <w:proofErr w:type="gramEnd"/>
      <w:r w:rsidRPr="00BB3EB6">
        <w:rPr>
          <w:color w:val="000000" w:themeColor="text1"/>
          <w:szCs w:val="24"/>
        </w:rPr>
        <w:t>/cen-09146-scicon]</w:t>
      </w:r>
    </w:p>
    <w:p w:rsidR="008E52DA" w:rsidRPr="00BB3EB6" w:rsidRDefault="005A3EC3" w:rsidP="00131958">
      <w:pPr>
        <w:pStyle w:val="Heading1"/>
        <w:spacing w:before="0" w:beforeAutospacing="0" w:after="0" w:afterAutospacing="0"/>
        <w:ind w:left="360" w:hanging="360"/>
        <w:rPr>
          <w:color w:val="000000" w:themeColor="text1"/>
          <w:sz w:val="24"/>
          <w:szCs w:val="24"/>
        </w:rPr>
      </w:pPr>
      <w:r w:rsidRPr="00BB3EB6">
        <w:rPr>
          <w:b w:val="0"/>
          <w:color w:val="000000" w:themeColor="text1"/>
          <w:sz w:val="24"/>
          <w:szCs w:val="24"/>
        </w:rPr>
        <w:tab/>
      </w:r>
      <w:proofErr w:type="spellStart"/>
      <w:r w:rsidR="008E52DA" w:rsidRPr="00BB3EB6">
        <w:rPr>
          <w:b w:val="0"/>
          <w:color w:val="000000" w:themeColor="text1"/>
          <w:sz w:val="24"/>
          <w:szCs w:val="24"/>
        </w:rPr>
        <w:t>Wisnovsky</w:t>
      </w:r>
      <w:proofErr w:type="spellEnd"/>
      <w:r w:rsidR="008E52DA" w:rsidRPr="00BB3EB6">
        <w:rPr>
          <w:b w:val="0"/>
          <w:color w:val="000000" w:themeColor="text1"/>
          <w:sz w:val="24"/>
          <w:szCs w:val="24"/>
        </w:rPr>
        <w:t xml:space="preserve">, </w:t>
      </w:r>
      <w:r w:rsidR="008E52DA" w:rsidRPr="00BB3EB6">
        <w:rPr>
          <w:b w:val="0"/>
          <w:i/>
          <w:color w:val="000000" w:themeColor="text1"/>
          <w:sz w:val="24"/>
          <w:szCs w:val="24"/>
        </w:rPr>
        <w:t>et al.</w:t>
      </w:r>
      <w:r w:rsidR="008E52DA" w:rsidRPr="00BB3EB6">
        <w:rPr>
          <w:b w:val="0"/>
          <w:color w:val="000000" w:themeColor="text1"/>
          <w:sz w:val="24"/>
          <w:szCs w:val="24"/>
        </w:rPr>
        <w:t>, “Targeting Mitochondrial DNA with a Platinum-Based Anticancer Agent,”</w:t>
      </w:r>
      <w:r w:rsidR="00131958" w:rsidRPr="00BB3EB6">
        <w:rPr>
          <w:b w:val="0"/>
          <w:color w:val="000000" w:themeColor="text1"/>
          <w:sz w:val="24"/>
          <w:szCs w:val="24"/>
        </w:rPr>
        <w:t xml:space="preserve"> </w:t>
      </w:r>
      <w:r w:rsidRPr="00BB3EB6">
        <w:rPr>
          <w:b w:val="0"/>
          <w:color w:val="000000" w:themeColor="text1"/>
          <w:sz w:val="24"/>
          <w:szCs w:val="24"/>
          <w:u w:val="single"/>
        </w:rPr>
        <w:t xml:space="preserve">Chem. </w:t>
      </w:r>
      <w:proofErr w:type="spellStart"/>
      <w:r w:rsidRPr="00BB3EB6">
        <w:rPr>
          <w:b w:val="0"/>
          <w:color w:val="000000" w:themeColor="text1"/>
          <w:sz w:val="24"/>
          <w:szCs w:val="24"/>
          <w:u w:val="single"/>
        </w:rPr>
        <w:t>Biol</w:t>
      </w:r>
      <w:proofErr w:type="spellEnd"/>
      <w:r w:rsidRPr="00BB3EB6">
        <w:rPr>
          <w:b w:val="0"/>
          <w:color w:val="000000" w:themeColor="text1"/>
          <w:sz w:val="24"/>
          <w:szCs w:val="24"/>
        </w:rPr>
        <w:t xml:space="preserve">, </w:t>
      </w:r>
      <w:r w:rsidR="008E52DA" w:rsidRPr="00BB3EB6">
        <w:rPr>
          <w:b w:val="0"/>
          <w:color w:val="000000" w:themeColor="text1"/>
          <w:sz w:val="24"/>
          <w:szCs w:val="24"/>
        </w:rPr>
        <w:t>20, 1323-1328 (</w:t>
      </w:r>
      <w:r w:rsidRPr="00BB3EB6">
        <w:rPr>
          <w:b w:val="0"/>
          <w:color w:val="000000" w:themeColor="text1"/>
          <w:sz w:val="24"/>
          <w:szCs w:val="24"/>
        </w:rPr>
        <w:t>2013</w:t>
      </w:r>
      <w:r w:rsidR="008E52DA" w:rsidRPr="00BB3EB6">
        <w:rPr>
          <w:b w:val="0"/>
          <w:color w:val="000000" w:themeColor="text1"/>
          <w:sz w:val="24"/>
          <w:szCs w:val="24"/>
        </w:rPr>
        <w:t>).</w:t>
      </w:r>
    </w:p>
    <w:p w:rsidR="005A3EC3" w:rsidRPr="00BB3EB6" w:rsidRDefault="005A3EC3" w:rsidP="00131958">
      <w:pPr>
        <w:ind w:left="360" w:hanging="360"/>
        <w:rPr>
          <w:color w:val="000000" w:themeColor="text1"/>
          <w:szCs w:val="24"/>
        </w:rPr>
      </w:pPr>
      <w:r w:rsidRPr="00BB3EB6">
        <w:rPr>
          <w:color w:val="000000" w:themeColor="text1"/>
          <w:szCs w:val="24"/>
        </w:rPr>
        <w:t xml:space="preserve"> </w:t>
      </w:r>
      <w:r w:rsidR="00131958" w:rsidRPr="00BB3EB6">
        <w:rPr>
          <w:color w:val="000000" w:themeColor="text1"/>
          <w:szCs w:val="24"/>
        </w:rPr>
        <w:tab/>
      </w:r>
      <w:r w:rsidRPr="00BB3EB6">
        <w:rPr>
          <w:color w:val="000000" w:themeColor="text1"/>
          <w:szCs w:val="24"/>
        </w:rPr>
        <w:t>[DOI: 10.1016/j.chembiol.2013.08.010]</w:t>
      </w:r>
    </w:p>
    <w:p w:rsidR="005A3EC3" w:rsidRPr="00DC4ED3" w:rsidRDefault="005A3EC3" w:rsidP="00DC4ED3">
      <w:pPr>
        <w:rPr>
          <w:szCs w:val="24"/>
        </w:rPr>
      </w:pPr>
    </w:p>
    <w:p w:rsidR="00483671" w:rsidRPr="00DC4ED3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“Unmasking </w:t>
      </w:r>
      <w:proofErr w:type="spellStart"/>
      <w:r w:rsidRPr="00DC4ED3">
        <w:rPr>
          <w:color w:val="C00000"/>
          <w:szCs w:val="24"/>
        </w:rPr>
        <w:t>Nitrogenase</w:t>
      </w:r>
      <w:proofErr w:type="spellEnd"/>
      <w:r w:rsidRPr="00DC4ED3">
        <w:rPr>
          <w:color w:val="C00000"/>
          <w:szCs w:val="24"/>
        </w:rPr>
        <w:t xml:space="preserve">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October 1, 2012, p 13.</w:t>
      </w:r>
      <w:r w:rsidR="00EB7394" w:rsidRPr="00DC4ED3">
        <w:rPr>
          <w:color w:val="C00000"/>
          <w:szCs w:val="24"/>
        </w:rPr>
        <w:t xml:space="preserve"> </w:t>
      </w:r>
    </w:p>
    <w:p w:rsidR="005A3EC3" w:rsidRPr="008D165B" w:rsidRDefault="00EB7394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:10.1021</w:t>
      </w:r>
      <w:proofErr w:type="gramEnd"/>
      <w:r w:rsidRPr="008D165B">
        <w:rPr>
          <w:color w:val="000000" w:themeColor="text1"/>
          <w:szCs w:val="24"/>
        </w:rPr>
        <w:t>/cen-09040-notw8]</w:t>
      </w:r>
    </w:p>
    <w:p w:rsidR="005A3EC3" w:rsidRPr="00DC4ED3" w:rsidRDefault="005A3EC3" w:rsidP="00DC4ED3">
      <w:pPr>
        <w:rPr>
          <w:szCs w:val="24"/>
        </w:rPr>
      </w:pPr>
    </w:p>
    <w:p w:rsidR="00483671" w:rsidRPr="00DC4ED3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“</w:t>
      </w:r>
      <w:proofErr w:type="spellStart"/>
      <w:r w:rsidRPr="00DC4ED3">
        <w:rPr>
          <w:color w:val="C00000"/>
          <w:szCs w:val="24"/>
        </w:rPr>
        <w:t>Nitrogenase</w:t>
      </w:r>
      <w:proofErr w:type="spellEnd"/>
      <w:r w:rsidRPr="00DC4ED3">
        <w:rPr>
          <w:color w:val="C00000"/>
          <w:szCs w:val="24"/>
        </w:rPr>
        <w:t xml:space="preserve"> Cofactor Centers on Carbon,”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November 21, 2011, p 30.</w:t>
      </w:r>
    </w:p>
    <w:p w:rsidR="00EB7394" w:rsidRPr="008D165B" w:rsidRDefault="00EB7394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[DOI:10.1021/cen-v089n047.p030]</w:t>
      </w:r>
    </w:p>
    <w:p w:rsidR="005A3EC3" w:rsidRPr="008D165B" w:rsidRDefault="005A3EC3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Lancaster, </w:t>
      </w:r>
      <w:r w:rsidRPr="008D165B">
        <w:rPr>
          <w:i/>
          <w:color w:val="000000" w:themeColor="text1"/>
          <w:szCs w:val="24"/>
        </w:rPr>
        <w:t>et al.</w:t>
      </w:r>
      <w:r w:rsidRPr="008D165B">
        <w:rPr>
          <w:color w:val="000000" w:themeColor="text1"/>
          <w:szCs w:val="24"/>
        </w:rPr>
        <w:t xml:space="preserve">, “X-Ray Emission Spectroscopy Evidences a Central Carbon in the </w:t>
      </w:r>
      <w:proofErr w:type="spellStart"/>
      <w:r w:rsidRPr="008D165B">
        <w:rPr>
          <w:color w:val="000000" w:themeColor="text1"/>
          <w:szCs w:val="24"/>
        </w:rPr>
        <w:t>Nitrogenases</w:t>
      </w:r>
      <w:proofErr w:type="spellEnd"/>
      <w:r w:rsidRPr="008D165B">
        <w:rPr>
          <w:color w:val="000000" w:themeColor="text1"/>
          <w:szCs w:val="24"/>
        </w:rPr>
        <w:t xml:space="preserve"> Iron-Molybdenum Cofactor,” </w:t>
      </w:r>
      <w:r w:rsidRPr="008D165B">
        <w:rPr>
          <w:color w:val="000000" w:themeColor="text1"/>
          <w:szCs w:val="24"/>
          <w:u w:val="single"/>
        </w:rPr>
        <w:t>Science</w:t>
      </w:r>
      <w:r w:rsidR="00F71820" w:rsidRPr="008D165B">
        <w:rPr>
          <w:color w:val="000000" w:themeColor="text1"/>
          <w:szCs w:val="24"/>
        </w:rPr>
        <w:t>, 334, 974-977</w:t>
      </w:r>
      <w:r w:rsidRPr="008D165B">
        <w:rPr>
          <w:color w:val="000000" w:themeColor="text1"/>
          <w:szCs w:val="24"/>
        </w:rPr>
        <w:t xml:space="preserve"> (2011).</w:t>
      </w:r>
    </w:p>
    <w:p w:rsidR="00F71820" w:rsidRPr="008D165B" w:rsidRDefault="00F71820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[DOI:10.1126/science.1206445]</w:t>
      </w:r>
    </w:p>
    <w:p w:rsidR="00BE1E7A" w:rsidRPr="00DC4ED3" w:rsidRDefault="00BE1E7A" w:rsidP="00DC4ED3">
      <w:pPr>
        <w:rPr>
          <w:color w:val="000000" w:themeColor="text1"/>
          <w:szCs w:val="24"/>
        </w:rPr>
      </w:pPr>
    </w:p>
    <w:p w:rsidR="00483671" w:rsidRPr="00DC4ED3" w:rsidRDefault="00BE1E7A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“Dark Side of Manganese” (letter by John A. Simms) </w:t>
      </w:r>
      <w:r w:rsidRPr="00131958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</w:t>
      </w:r>
      <w:r w:rsidR="002F2B3B" w:rsidRPr="00DC4ED3">
        <w:rPr>
          <w:color w:val="C00000"/>
          <w:szCs w:val="24"/>
        </w:rPr>
        <w:t xml:space="preserve"> </w:t>
      </w:r>
      <w:r w:rsidRPr="00DC4ED3">
        <w:rPr>
          <w:color w:val="C00000"/>
          <w:szCs w:val="24"/>
        </w:rPr>
        <w:t>September 12, 2011</w:t>
      </w:r>
      <w:r w:rsidR="002F2B3B" w:rsidRPr="00DC4ED3">
        <w:rPr>
          <w:color w:val="C00000"/>
          <w:szCs w:val="24"/>
        </w:rPr>
        <w:t xml:space="preserve">, p 4. </w:t>
      </w:r>
    </w:p>
    <w:p w:rsidR="00BE1E7A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[DOI:10.1021/cen-v089n037.p004]</w:t>
      </w:r>
    </w:p>
    <w:p w:rsidR="005E3D4B" w:rsidRPr="008D165B" w:rsidRDefault="008E52DA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Bouchard, </w:t>
      </w:r>
      <w:r w:rsidRPr="008D165B">
        <w:rPr>
          <w:i/>
          <w:color w:val="000000" w:themeColor="text1"/>
          <w:szCs w:val="24"/>
        </w:rPr>
        <w:t>et al.</w:t>
      </w:r>
      <w:r w:rsidRPr="008D165B">
        <w:rPr>
          <w:color w:val="000000" w:themeColor="text1"/>
          <w:szCs w:val="24"/>
        </w:rPr>
        <w:t xml:space="preserve">, “Intellectual </w:t>
      </w:r>
      <w:proofErr w:type="spellStart"/>
      <w:r w:rsidRPr="008D165B">
        <w:rPr>
          <w:color w:val="000000" w:themeColor="text1"/>
          <w:szCs w:val="24"/>
        </w:rPr>
        <w:t>Imparment</w:t>
      </w:r>
      <w:proofErr w:type="spellEnd"/>
      <w:r w:rsidRPr="008D165B">
        <w:rPr>
          <w:color w:val="000000" w:themeColor="text1"/>
          <w:szCs w:val="24"/>
        </w:rPr>
        <w:t xml:space="preserve"> in School-Age Children Exposed to Manganese from Drinking Water,” </w:t>
      </w:r>
      <w:r w:rsidRPr="008D165B">
        <w:rPr>
          <w:color w:val="000000" w:themeColor="text1"/>
          <w:szCs w:val="24"/>
          <w:u w:val="single"/>
        </w:rPr>
        <w:t>Environ.</w:t>
      </w:r>
      <w:r w:rsidR="00BE1E7A" w:rsidRPr="008D165B">
        <w:rPr>
          <w:color w:val="000000" w:themeColor="text1"/>
          <w:szCs w:val="24"/>
          <w:u w:val="single"/>
        </w:rPr>
        <w:t xml:space="preserve"> </w:t>
      </w:r>
      <w:r w:rsidRPr="008D165B">
        <w:rPr>
          <w:color w:val="000000" w:themeColor="text1"/>
          <w:szCs w:val="24"/>
          <w:u w:val="single"/>
        </w:rPr>
        <w:t>Health Perspect</w:t>
      </w:r>
      <w:r w:rsidRPr="008D165B">
        <w:rPr>
          <w:color w:val="000000" w:themeColor="text1"/>
          <w:szCs w:val="24"/>
        </w:rPr>
        <w:t>.</w:t>
      </w:r>
      <w:proofErr w:type="gramStart"/>
      <w:r w:rsidR="005E3D4B" w:rsidRPr="008D165B">
        <w:rPr>
          <w:color w:val="000000" w:themeColor="text1"/>
          <w:szCs w:val="24"/>
        </w:rPr>
        <w:t>,</w:t>
      </w:r>
      <w:r w:rsidRPr="008D165B">
        <w:rPr>
          <w:color w:val="000000" w:themeColor="text1"/>
          <w:szCs w:val="24"/>
        </w:rPr>
        <w:t>119</w:t>
      </w:r>
      <w:proofErr w:type="gramEnd"/>
      <w:r w:rsidRPr="008D165B">
        <w:rPr>
          <w:color w:val="000000" w:themeColor="text1"/>
          <w:szCs w:val="24"/>
        </w:rPr>
        <w:t>, 138-143 (2010)</w:t>
      </w:r>
      <w:r w:rsidR="005E3D4B" w:rsidRPr="008D165B">
        <w:rPr>
          <w:color w:val="000000" w:themeColor="text1"/>
          <w:szCs w:val="24"/>
        </w:rPr>
        <w:t>.</w:t>
      </w:r>
      <w:r w:rsidR="00BE1E7A" w:rsidRPr="008D165B">
        <w:rPr>
          <w:color w:val="000000" w:themeColor="text1"/>
          <w:szCs w:val="24"/>
        </w:rPr>
        <w:t xml:space="preserve"> </w:t>
      </w:r>
    </w:p>
    <w:p w:rsidR="00BE1E7A" w:rsidRPr="008D165B" w:rsidRDefault="00BE1E7A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[DOI; 10.1289/ehp.1002321]</w:t>
      </w:r>
    </w:p>
    <w:p w:rsidR="005E3D4B" w:rsidRPr="008D165B" w:rsidRDefault="005E3D4B" w:rsidP="00131958">
      <w:pPr>
        <w:pStyle w:val="Heading1"/>
        <w:spacing w:before="0" w:beforeAutospacing="0" w:after="0" w:afterAutospacing="0"/>
        <w:ind w:left="360"/>
        <w:rPr>
          <w:b w:val="0"/>
          <w:color w:val="000000" w:themeColor="text1"/>
          <w:sz w:val="24"/>
          <w:szCs w:val="24"/>
        </w:rPr>
      </w:pPr>
      <w:r w:rsidRPr="008D165B">
        <w:rPr>
          <w:b w:val="0"/>
          <w:color w:val="000000" w:themeColor="text1"/>
          <w:sz w:val="24"/>
          <w:szCs w:val="24"/>
        </w:rPr>
        <w:lastRenderedPageBreak/>
        <w:t xml:space="preserve">Jiang, </w:t>
      </w:r>
      <w:r w:rsidRPr="008D165B">
        <w:rPr>
          <w:b w:val="0"/>
          <w:i/>
          <w:color w:val="000000" w:themeColor="text1"/>
          <w:sz w:val="24"/>
          <w:szCs w:val="24"/>
        </w:rPr>
        <w:t>et al.</w:t>
      </w:r>
      <w:r w:rsidRPr="008D165B">
        <w:rPr>
          <w:b w:val="0"/>
          <w:color w:val="000000" w:themeColor="text1"/>
          <w:sz w:val="24"/>
          <w:szCs w:val="24"/>
        </w:rPr>
        <w:t>, “Effective treatment of manganese-induced occupational Parkinsonism with p-</w:t>
      </w:r>
      <w:proofErr w:type="spellStart"/>
      <w:r w:rsidRPr="008D165B">
        <w:rPr>
          <w:b w:val="0"/>
          <w:color w:val="000000" w:themeColor="text1"/>
          <w:sz w:val="24"/>
          <w:szCs w:val="24"/>
        </w:rPr>
        <w:t>aminosalicylic</w:t>
      </w:r>
      <w:proofErr w:type="spellEnd"/>
      <w:r w:rsidRPr="008D165B">
        <w:rPr>
          <w:b w:val="0"/>
          <w:color w:val="000000" w:themeColor="text1"/>
          <w:sz w:val="24"/>
          <w:szCs w:val="24"/>
        </w:rPr>
        <w:t xml:space="preserve"> acid: a case of 17-year follow-up study,” </w:t>
      </w:r>
      <w:r w:rsidR="00BE1E7A" w:rsidRPr="008D165B">
        <w:rPr>
          <w:b w:val="0"/>
          <w:color w:val="000000" w:themeColor="text1"/>
          <w:sz w:val="24"/>
          <w:szCs w:val="24"/>
          <w:u w:val="single"/>
        </w:rPr>
        <w:t xml:space="preserve">J. </w:t>
      </w:r>
      <w:proofErr w:type="spellStart"/>
      <w:r w:rsidR="00BE1E7A" w:rsidRPr="008D165B">
        <w:rPr>
          <w:b w:val="0"/>
          <w:color w:val="000000" w:themeColor="text1"/>
          <w:sz w:val="24"/>
          <w:szCs w:val="24"/>
          <w:u w:val="single"/>
        </w:rPr>
        <w:t>Occup</w:t>
      </w:r>
      <w:proofErr w:type="spellEnd"/>
      <w:r w:rsidR="00BE1E7A" w:rsidRPr="008D165B">
        <w:rPr>
          <w:b w:val="0"/>
          <w:color w:val="000000" w:themeColor="text1"/>
          <w:sz w:val="24"/>
          <w:szCs w:val="24"/>
          <w:u w:val="single"/>
        </w:rPr>
        <w:t>. Environ. Med.</w:t>
      </w:r>
      <w:r w:rsidRPr="008D165B">
        <w:rPr>
          <w:b w:val="0"/>
          <w:color w:val="000000" w:themeColor="text1"/>
          <w:sz w:val="24"/>
          <w:szCs w:val="24"/>
        </w:rPr>
        <w:t>, 48, 644-649 (2006).</w:t>
      </w:r>
    </w:p>
    <w:p w:rsidR="00BE1E7A" w:rsidRPr="008D165B" w:rsidRDefault="00BE1E7A" w:rsidP="00131958">
      <w:pPr>
        <w:pStyle w:val="Heading1"/>
        <w:spacing w:before="0" w:beforeAutospacing="0" w:after="0" w:afterAutospacing="0"/>
        <w:ind w:left="360"/>
        <w:rPr>
          <w:color w:val="000000" w:themeColor="text1"/>
          <w:sz w:val="24"/>
          <w:szCs w:val="24"/>
        </w:rPr>
      </w:pPr>
      <w:r w:rsidRPr="008D165B">
        <w:rPr>
          <w:b w:val="0"/>
          <w:color w:val="000000" w:themeColor="text1"/>
          <w:sz w:val="24"/>
          <w:szCs w:val="24"/>
        </w:rPr>
        <w:t xml:space="preserve"> [DOI: 10.1097/01.jom.0000204114.01893.3e]</w:t>
      </w:r>
    </w:p>
    <w:p w:rsidR="00BE1E7A" w:rsidRPr="00DC4ED3" w:rsidRDefault="00BE1E7A" w:rsidP="00DC4ED3">
      <w:pPr>
        <w:rPr>
          <w:color w:val="000000" w:themeColor="text1"/>
          <w:szCs w:val="24"/>
        </w:rPr>
      </w:pPr>
    </w:p>
    <w:p w:rsidR="00131958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“Model Cluster Yields Clues on Calcium’s Water-Splitting Role,”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August 8, 2011, p 39.</w:t>
      </w:r>
    </w:p>
    <w:p w:rsidR="005A3EC3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[DOI:10.1021/cen-v089n032.p038]</w:t>
      </w:r>
    </w:p>
    <w:p w:rsidR="003E40E9" w:rsidRPr="008D165B" w:rsidRDefault="0015423B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Kanady</w:t>
      </w:r>
      <w:proofErr w:type="spellEnd"/>
      <w:r w:rsidRPr="008D165B">
        <w:rPr>
          <w:color w:val="000000" w:themeColor="text1"/>
          <w:szCs w:val="24"/>
        </w:rPr>
        <w:t xml:space="preserve">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>., “A Synthetic Model of the Mn</w:t>
      </w:r>
      <w:r w:rsidRPr="008D165B">
        <w:rPr>
          <w:color w:val="000000" w:themeColor="text1"/>
          <w:szCs w:val="24"/>
          <w:vertAlign w:val="subscript"/>
        </w:rPr>
        <w:t>3</w:t>
      </w:r>
      <w:r w:rsidRPr="008D165B">
        <w:rPr>
          <w:color w:val="000000" w:themeColor="text1"/>
          <w:szCs w:val="24"/>
        </w:rPr>
        <w:t xml:space="preserve">Ca </w:t>
      </w:r>
      <w:proofErr w:type="spellStart"/>
      <w:r w:rsidRPr="008D165B">
        <w:rPr>
          <w:color w:val="000000" w:themeColor="text1"/>
          <w:szCs w:val="24"/>
        </w:rPr>
        <w:t>Subsite</w:t>
      </w:r>
      <w:proofErr w:type="spellEnd"/>
      <w:r w:rsidRPr="008D165B">
        <w:rPr>
          <w:color w:val="000000" w:themeColor="text1"/>
          <w:szCs w:val="24"/>
        </w:rPr>
        <w:t xml:space="preserve"> of the Oxygen-Evolving Complex in Photosystem II”, </w:t>
      </w:r>
      <w:r w:rsidRPr="008D165B">
        <w:rPr>
          <w:color w:val="000000" w:themeColor="text1"/>
          <w:szCs w:val="24"/>
          <w:u w:val="single"/>
        </w:rPr>
        <w:t>Science</w:t>
      </w:r>
      <w:r w:rsidRPr="008D165B">
        <w:rPr>
          <w:color w:val="000000" w:themeColor="text1"/>
          <w:szCs w:val="24"/>
        </w:rPr>
        <w:t>, 333, 733-736 (2011).</w:t>
      </w:r>
    </w:p>
    <w:p w:rsidR="0015423B" w:rsidRPr="008D165B" w:rsidRDefault="005E3D4B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</w:t>
      </w:r>
      <w:r w:rsidRPr="008D165B">
        <w:rPr>
          <w:rStyle w:val="HTMLCite"/>
          <w:i w:val="0"/>
          <w:color w:val="000000" w:themeColor="text1"/>
          <w:szCs w:val="24"/>
        </w:rPr>
        <w:t xml:space="preserve">DOI: </w:t>
      </w:r>
      <w:r w:rsidRPr="008D165B">
        <w:rPr>
          <w:rStyle w:val="slug-doi"/>
          <w:iCs/>
          <w:color w:val="000000" w:themeColor="text1"/>
          <w:szCs w:val="24"/>
        </w:rPr>
        <w:t>10.1126/science.1206036</w:t>
      </w:r>
      <w:r w:rsidR="003E40E9" w:rsidRPr="008D165B">
        <w:rPr>
          <w:rStyle w:val="slug-doi"/>
          <w:iCs/>
          <w:color w:val="000000" w:themeColor="text1"/>
          <w:szCs w:val="24"/>
        </w:rPr>
        <w:t>]</w:t>
      </w:r>
    </w:p>
    <w:p w:rsidR="005A3EC3" w:rsidRDefault="005A3EC3" w:rsidP="00DC4ED3">
      <w:pPr>
        <w:rPr>
          <w:szCs w:val="24"/>
        </w:rPr>
      </w:pPr>
    </w:p>
    <w:p w:rsidR="00483671" w:rsidRPr="00DC4ED3" w:rsidRDefault="00BE1E7A" w:rsidP="00DC4ED3">
      <w:pPr>
        <w:tabs>
          <w:tab w:val="left" w:pos="720"/>
        </w:tabs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“Cells Take Up Plutonium”,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July 4, 2011</w:t>
      </w:r>
      <w:r w:rsidR="002F2B3B" w:rsidRPr="00DC4ED3">
        <w:rPr>
          <w:color w:val="C00000"/>
          <w:szCs w:val="24"/>
        </w:rPr>
        <w:t>, p 11.</w:t>
      </w:r>
    </w:p>
    <w:p w:rsidR="00BE1E7A" w:rsidRPr="008D165B" w:rsidRDefault="002F2B3B" w:rsidP="00DC4ED3">
      <w:pPr>
        <w:tabs>
          <w:tab w:val="left" w:pos="720"/>
        </w:tabs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[DOI:10.1021/cen-v089n027.p011]</w:t>
      </w:r>
    </w:p>
    <w:p w:rsidR="005E3D4B" w:rsidRPr="008D165B" w:rsidRDefault="005E3D4B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Kosman</w:t>
      </w:r>
      <w:proofErr w:type="spellEnd"/>
      <w:r w:rsidRPr="008D165B">
        <w:rPr>
          <w:color w:val="000000" w:themeColor="text1"/>
          <w:szCs w:val="24"/>
        </w:rPr>
        <w:t xml:space="preserve">, “Transport: Plutonium’s Trojan </w:t>
      </w:r>
      <w:proofErr w:type="gramStart"/>
      <w:r w:rsidRPr="008D165B">
        <w:rPr>
          <w:color w:val="000000" w:themeColor="text1"/>
          <w:szCs w:val="24"/>
        </w:rPr>
        <w:t>Horse</w:t>
      </w:r>
      <w:proofErr w:type="gramEnd"/>
      <w:r w:rsidRPr="008D165B">
        <w:rPr>
          <w:color w:val="000000" w:themeColor="text1"/>
          <w:szCs w:val="24"/>
        </w:rPr>
        <w:t xml:space="preserve">,” </w:t>
      </w:r>
      <w:r w:rsidR="00BE1E7A" w:rsidRPr="008D165B">
        <w:rPr>
          <w:color w:val="000000" w:themeColor="text1"/>
          <w:szCs w:val="24"/>
          <w:u w:val="single"/>
        </w:rPr>
        <w:t>Nat. Chem. Bio</w:t>
      </w:r>
      <w:r w:rsidRPr="008D165B">
        <w:rPr>
          <w:color w:val="000000" w:themeColor="text1"/>
          <w:szCs w:val="24"/>
          <w:u w:val="single"/>
        </w:rPr>
        <w:t>.</w:t>
      </w:r>
      <w:r w:rsidRPr="008D165B">
        <w:rPr>
          <w:color w:val="000000" w:themeColor="text1"/>
          <w:szCs w:val="24"/>
        </w:rPr>
        <w:t>, 7, p 498-499 (2011).</w:t>
      </w:r>
    </w:p>
    <w:p w:rsidR="00BE1E7A" w:rsidRPr="008D165B" w:rsidRDefault="00BE1E7A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 10.1038/nchembio.594]</w:t>
      </w:r>
    </w:p>
    <w:p w:rsidR="00BE1E7A" w:rsidRPr="00DC4ED3" w:rsidRDefault="00BE1E7A" w:rsidP="00DC4ED3">
      <w:pPr>
        <w:rPr>
          <w:szCs w:val="24"/>
        </w:rPr>
      </w:pPr>
    </w:p>
    <w:p w:rsidR="00483671" w:rsidRPr="00DC4ED3" w:rsidRDefault="00E70055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“Spinning Improves NMR of Large Proteins,”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June 20, 2011, p 32.</w:t>
      </w:r>
      <w:r w:rsidR="002F2B3B" w:rsidRPr="00DC4ED3">
        <w:rPr>
          <w:color w:val="C00000"/>
          <w:szCs w:val="24"/>
        </w:rPr>
        <w:t xml:space="preserve"> </w:t>
      </w:r>
    </w:p>
    <w:p w:rsidR="00E70055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[DOI:10.1021/cen-v089n025.p032]</w:t>
      </w:r>
    </w:p>
    <w:p w:rsidR="003E40E9" w:rsidRPr="008D165B" w:rsidRDefault="00E70055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Bertini</w:t>
      </w:r>
      <w:proofErr w:type="spellEnd"/>
      <w:r w:rsidRPr="008D165B">
        <w:rPr>
          <w:color w:val="000000" w:themeColor="text1"/>
          <w:szCs w:val="24"/>
        </w:rPr>
        <w:t xml:space="preserve">, “Solid-state NMR of Proteins </w:t>
      </w:r>
      <w:proofErr w:type="spellStart"/>
      <w:r w:rsidRPr="008D165B">
        <w:rPr>
          <w:color w:val="000000" w:themeColor="text1"/>
          <w:szCs w:val="24"/>
        </w:rPr>
        <w:t>Sedimented</w:t>
      </w:r>
      <w:proofErr w:type="spellEnd"/>
      <w:r w:rsidRPr="008D165B">
        <w:rPr>
          <w:color w:val="000000" w:themeColor="text1"/>
          <w:szCs w:val="24"/>
        </w:rPr>
        <w:t xml:space="preserve"> by Ultracentrifugation, </w:t>
      </w:r>
      <w:r w:rsidRPr="008D165B">
        <w:rPr>
          <w:color w:val="000000" w:themeColor="text1"/>
          <w:szCs w:val="24"/>
          <w:u w:val="single"/>
        </w:rPr>
        <w:t>Proc. Nat. Acad. Sci.,</w:t>
      </w:r>
      <w:r w:rsidRPr="008D165B">
        <w:rPr>
          <w:color w:val="000000" w:themeColor="text1"/>
          <w:szCs w:val="24"/>
        </w:rPr>
        <w:t xml:space="preserve"> 108, 10396-10399 (2011).</w:t>
      </w:r>
      <w:r w:rsidR="003E40E9" w:rsidRPr="008D165B">
        <w:rPr>
          <w:color w:val="000000" w:themeColor="text1"/>
          <w:szCs w:val="24"/>
        </w:rPr>
        <w:t xml:space="preserve"> </w:t>
      </w:r>
    </w:p>
    <w:p w:rsidR="003E40E9" w:rsidRPr="008D165B" w:rsidRDefault="003E40E9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 10.1073/pnas.1103854108]</w:t>
      </w:r>
    </w:p>
    <w:p w:rsidR="00E70055" w:rsidRPr="00DC4ED3" w:rsidRDefault="00E70055" w:rsidP="00DC4ED3">
      <w:pPr>
        <w:ind w:left="720"/>
        <w:rPr>
          <w:color w:val="000000" w:themeColor="text1"/>
          <w:szCs w:val="24"/>
        </w:rPr>
      </w:pPr>
    </w:p>
    <w:p w:rsidR="00131958" w:rsidRDefault="00BE1E7A" w:rsidP="00DC4ED3">
      <w:pPr>
        <w:tabs>
          <w:tab w:val="left" w:pos="720"/>
        </w:tabs>
        <w:rPr>
          <w:color w:val="C00000"/>
          <w:szCs w:val="24"/>
        </w:rPr>
      </w:pPr>
      <w:r w:rsidRPr="00DC4ED3">
        <w:rPr>
          <w:color w:val="C00000"/>
          <w:szCs w:val="24"/>
        </w:rPr>
        <w:t>“Mycobacteria Have a System</w:t>
      </w:r>
      <w:r w:rsidR="002F2B3B" w:rsidRPr="00DC4ED3">
        <w:rPr>
          <w:color w:val="C00000"/>
          <w:szCs w:val="24"/>
        </w:rPr>
        <w:t xml:space="preserve"> for Acquiring Iron From </w:t>
      </w:r>
      <w:proofErr w:type="spellStart"/>
      <w:r w:rsidR="002F2B3B" w:rsidRPr="00DC4ED3">
        <w:rPr>
          <w:color w:val="C00000"/>
          <w:szCs w:val="24"/>
        </w:rPr>
        <w:t>Heme</w:t>
      </w:r>
      <w:proofErr w:type="spellEnd"/>
      <w:r w:rsidR="002F2B3B" w:rsidRPr="00DC4ED3">
        <w:rPr>
          <w:color w:val="C00000"/>
          <w:szCs w:val="24"/>
        </w:rPr>
        <w:t xml:space="preserve">,” </w:t>
      </w:r>
      <w:r w:rsidRPr="00DC4ED3">
        <w:rPr>
          <w:color w:val="C00000"/>
          <w:szCs w:val="24"/>
          <w:u w:val="single"/>
        </w:rPr>
        <w:t>C&amp;E News</w:t>
      </w:r>
      <w:r w:rsidR="002F2B3B" w:rsidRPr="00DC4ED3">
        <w:rPr>
          <w:color w:val="C00000"/>
          <w:szCs w:val="24"/>
        </w:rPr>
        <w:t xml:space="preserve">, March 14, 2011, p 38-39. </w:t>
      </w:r>
    </w:p>
    <w:p w:rsidR="00BE1E7A" w:rsidRPr="008D165B" w:rsidRDefault="002F2B3B" w:rsidP="00DC4ED3">
      <w:pPr>
        <w:tabs>
          <w:tab w:val="left" w:pos="720"/>
        </w:tabs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[DOI:10.1021/cen-v089n011.p038]</w:t>
      </w:r>
    </w:p>
    <w:p w:rsidR="003E40E9" w:rsidRPr="008D165B" w:rsidRDefault="00BE1E7A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Tullius</w:t>
      </w:r>
      <w:proofErr w:type="spellEnd"/>
      <w:r w:rsidRPr="008D165B">
        <w:rPr>
          <w:color w:val="000000" w:themeColor="text1"/>
          <w:szCs w:val="24"/>
        </w:rPr>
        <w:t xml:space="preserve"> </w:t>
      </w:r>
      <w:r w:rsidRPr="008D165B">
        <w:rPr>
          <w:i/>
          <w:color w:val="000000" w:themeColor="text1"/>
          <w:szCs w:val="24"/>
        </w:rPr>
        <w:t>et al.,</w:t>
      </w:r>
      <w:r w:rsidRPr="008D165B">
        <w:rPr>
          <w:color w:val="000000" w:themeColor="text1"/>
          <w:szCs w:val="24"/>
        </w:rPr>
        <w:t xml:space="preserve"> “Discovery and Characterization of a Unique Mycobacterial </w:t>
      </w:r>
      <w:proofErr w:type="spellStart"/>
      <w:r w:rsidRPr="008D165B">
        <w:rPr>
          <w:color w:val="000000" w:themeColor="text1"/>
          <w:szCs w:val="24"/>
        </w:rPr>
        <w:t>Heme</w:t>
      </w:r>
      <w:proofErr w:type="spellEnd"/>
      <w:r w:rsidRPr="008D165B">
        <w:rPr>
          <w:color w:val="000000" w:themeColor="text1"/>
          <w:szCs w:val="24"/>
        </w:rPr>
        <w:t xml:space="preserve"> Acquisition System”, </w:t>
      </w:r>
      <w:r w:rsidRPr="008D165B">
        <w:rPr>
          <w:color w:val="000000" w:themeColor="text1"/>
          <w:szCs w:val="24"/>
          <w:u w:val="single"/>
        </w:rPr>
        <w:t>Proc. Natl. Acad. Sci.</w:t>
      </w:r>
      <w:r w:rsidRPr="008D165B">
        <w:rPr>
          <w:color w:val="000000" w:themeColor="text1"/>
          <w:szCs w:val="24"/>
        </w:rPr>
        <w:t>, 108, 5051-5056 (2011)</w:t>
      </w:r>
      <w:r w:rsidR="003E40E9" w:rsidRPr="008D165B">
        <w:rPr>
          <w:color w:val="000000" w:themeColor="text1"/>
          <w:szCs w:val="24"/>
        </w:rPr>
        <w:t>.</w:t>
      </w:r>
    </w:p>
    <w:p w:rsidR="00BE1E7A" w:rsidRPr="008D165B" w:rsidRDefault="00BE1E7A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 10.1073/pnas.1009516108]</w:t>
      </w:r>
    </w:p>
    <w:p w:rsidR="00BE1E7A" w:rsidRPr="00DC4ED3" w:rsidRDefault="00BE1E7A" w:rsidP="00DC4ED3">
      <w:pPr>
        <w:tabs>
          <w:tab w:val="left" w:pos="720"/>
        </w:tabs>
        <w:rPr>
          <w:szCs w:val="24"/>
        </w:rPr>
      </w:pPr>
    </w:p>
    <w:p w:rsidR="00483671" w:rsidRPr="00DC4ED3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“</w:t>
      </w:r>
      <w:proofErr w:type="gramStart"/>
      <w:r w:rsidRPr="00DC4ED3">
        <w:rPr>
          <w:color w:val="C00000"/>
          <w:szCs w:val="24"/>
        </w:rPr>
        <w:t>Iron(</w:t>
      </w:r>
      <w:proofErr w:type="gramEnd"/>
      <w:r w:rsidRPr="00DC4ED3">
        <w:rPr>
          <w:color w:val="C00000"/>
          <w:szCs w:val="24"/>
        </w:rPr>
        <w:t xml:space="preserve">V) Nitride Mimics </w:t>
      </w:r>
      <w:proofErr w:type="spellStart"/>
      <w:r w:rsidRPr="00DC4ED3">
        <w:rPr>
          <w:color w:val="C00000"/>
          <w:szCs w:val="24"/>
        </w:rPr>
        <w:t>Nitrogenase</w:t>
      </w:r>
      <w:proofErr w:type="spellEnd"/>
      <w:r w:rsidRPr="00DC4ED3">
        <w:rPr>
          <w:color w:val="C00000"/>
          <w:szCs w:val="24"/>
        </w:rPr>
        <w:t xml:space="preserve"> Activity,”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February 28, 2011, p. 48.</w:t>
      </w:r>
    </w:p>
    <w:p w:rsidR="005A3EC3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[DOI:10.1021/cen-v089n009.p048]</w:t>
      </w:r>
    </w:p>
    <w:p w:rsidR="003E40E9" w:rsidRPr="008D165B" w:rsidRDefault="005A3EC3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Blank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>., “Structural Models of the [Fe</w:t>
      </w:r>
      <w:r w:rsidRPr="008D165B">
        <w:rPr>
          <w:color w:val="000000" w:themeColor="text1"/>
          <w:szCs w:val="24"/>
          <w:vertAlign w:val="subscript"/>
        </w:rPr>
        <w:t>4</w:t>
      </w:r>
      <w:r w:rsidRPr="008D165B">
        <w:rPr>
          <w:color w:val="000000" w:themeColor="text1"/>
          <w:szCs w:val="24"/>
        </w:rPr>
        <w:t>S</w:t>
      </w:r>
      <w:r w:rsidRPr="008D165B">
        <w:rPr>
          <w:color w:val="000000" w:themeColor="text1"/>
          <w:szCs w:val="24"/>
          <w:vertAlign w:val="subscript"/>
        </w:rPr>
        <w:t>4</w:t>
      </w:r>
      <w:r w:rsidRPr="008D165B">
        <w:rPr>
          <w:color w:val="000000" w:themeColor="text1"/>
          <w:szCs w:val="24"/>
        </w:rPr>
        <w:t xml:space="preserve">] Clusters of Homologous </w:t>
      </w:r>
      <w:proofErr w:type="spellStart"/>
      <w:r w:rsidRPr="008D165B">
        <w:rPr>
          <w:color w:val="000000" w:themeColor="text1"/>
          <w:szCs w:val="24"/>
        </w:rPr>
        <w:t>Nitrogenases</w:t>
      </w:r>
      <w:proofErr w:type="spellEnd"/>
      <w:r w:rsidRPr="008D165B">
        <w:rPr>
          <w:color w:val="000000" w:themeColor="text1"/>
          <w:szCs w:val="24"/>
        </w:rPr>
        <w:t xml:space="preserve"> Fe Proteins” </w:t>
      </w:r>
      <w:proofErr w:type="spellStart"/>
      <w:r w:rsidRPr="008D165B">
        <w:rPr>
          <w:color w:val="000000" w:themeColor="text1"/>
          <w:szCs w:val="24"/>
          <w:u w:val="single"/>
        </w:rPr>
        <w:t>Inorg</w:t>
      </w:r>
      <w:proofErr w:type="spellEnd"/>
      <w:r w:rsidRPr="008D165B">
        <w:rPr>
          <w:color w:val="000000" w:themeColor="text1"/>
          <w:szCs w:val="24"/>
          <w:u w:val="single"/>
        </w:rPr>
        <w:t>. Chem.</w:t>
      </w:r>
      <w:r w:rsidRPr="008D165B">
        <w:rPr>
          <w:color w:val="000000" w:themeColor="text1"/>
          <w:szCs w:val="24"/>
        </w:rPr>
        <w:t>, 50, 7123-7128 (2011).</w:t>
      </w:r>
      <w:r w:rsidR="003E40E9" w:rsidRPr="008D165B">
        <w:rPr>
          <w:color w:val="000000" w:themeColor="text1"/>
          <w:szCs w:val="24"/>
        </w:rPr>
        <w:t xml:space="preserve"> </w:t>
      </w:r>
    </w:p>
    <w:p w:rsidR="005A3EC3" w:rsidRPr="008D165B" w:rsidRDefault="003E40E9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:10.1021</w:t>
      </w:r>
      <w:proofErr w:type="gramEnd"/>
      <w:r w:rsidRPr="008D165B">
        <w:rPr>
          <w:color w:val="000000" w:themeColor="text1"/>
          <w:szCs w:val="24"/>
        </w:rPr>
        <w:t>/ic200636k]</w:t>
      </w:r>
    </w:p>
    <w:p w:rsidR="005A3EC3" w:rsidRPr="00DC4ED3" w:rsidRDefault="005A3EC3" w:rsidP="00DC4ED3">
      <w:pPr>
        <w:rPr>
          <w:color w:val="00B050"/>
          <w:szCs w:val="24"/>
        </w:rPr>
      </w:pPr>
    </w:p>
    <w:p w:rsidR="007B393F" w:rsidRPr="00DC4ED3" w:rsidRDefault="00BE1E7A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“</w:t>
      </w:r>
      <w:proofErr w:type="spellStart"/>
      <w:r w:rsidRPr="00DC4ED3">
        <w:rPr>
          <w:color w:val="C00000"/>
          <w:szCs w:val="24"/>
        </w:rPr>
        <w:t>Metalproteins</w:t>
      </w:r>
      <w:proofErr w:type="spellEnd"/>
      <w:r w:rsidRPr="00DC4ED3">
        <w:rPr>
          <w:color w:val="C00000"/>
          <w:szCs w:val="24"/>
        </w:rPr>
        <w:t xml:space="preserve"> Made to Order,” </w:t>
      </w:r>
      <w:proofErr w:type="spellStart"/>
      <w:r w:rsidRPr="00DC4ED3">
        <w:rPr>
          <w:color w:val="C00000"/>
          <w:szCs w:val="24"/>
          <w:u w:val="single"/>
        </w:rPr>
        <w:t>C&amp;ENews</w:t>
      </w:r>
      <w:proofErr w:type="spellEnd"/>
      <w:r w:rsidRPr="00DC4ED3">
        <w:rPr>
          <w:color w:val="C00000"/>
          <w:szCs w:val="24"/>
        </w:rPr>
        <w:t>, December 7, 2009, p 9.</w:t>
      </w:r>
    </w:p>
    <w:p w:rsidR="00BE1E7A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[DOI:10.1021/cen-v087n049.p009]</w:t>
      </w:r>
    </w:p>
    <w:p w:rsidR="003E40E9" w:rsidRPr="008D165B" w:rsidRDefault="00BE1E7A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Yeung, </w:t>
      </w:r>
      <w:r w:rsidRPr="008D165B">
        <w:rPr>
          <w:i/>
          <w:color w:val="000000" w:themeColor="text1"/>
          <w:szCs w:val="24"/>
        </w:rPr>
        <w:t>et al.</w:t>
      </w:r>
      <w:r w:rsidRPr="008D165B">
        <w:rPr>
          <w:color w:val="000000" w:themeColor="text1"/>
          <w:szCs w:val="24"/>
        </w:rPr>
        <w:t xml:space="preserve">, “Rational Design of a Structural and Functional Nitric Oxide Reductase,” </w:t>
      </w:r>
      <w:r w:rsidRPr="008D165B">
        <w:rPr>
          <w:color w:val="000000" w:themeColor="text1"/>
          <w:szCs w:val="24"/>
          <w:u w:val="single"/>
        </w:rPr>
        <w:t>Nature</w:t>
      </w:r>
      <w:r w:rsidRPr="008D165B">
        <w:rPr>
          <w:color w:val="000000" w:themeColor="text1"/>
          <w:szCs w:val="24"/>
        </w:rPr>
        <w:t>, 462, 1079-1082 (2009).</w:t>
      </w:r>
    </w:p>
    <w:p w:rsidR="00BE1E7A" w:rsidRPr="008D165B" w:rsidRDefault="003E40E9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</w:t>
      </w:r>
      <w:proofErr w:type="gramStart"/>
      <w:r w:rsidRPr="008D165B">
        <w:rPr>
          <w:color w:val="000000" w:themeColor="text1"/>
          <w:szCs w:val="24"/>
        </w:rPr>
        <w:t>:10.1038</w:t>
      </w:r>
      <w:proofErr w:type="gramEnd"/>
      <w:r w:rsidRPr="008D165B">
        <w:rPr>
          <w:color w:val="000000" w:themeColor="text1"/>
          <w:szCs w:val="24"/>
        </w:rPr>
        <w:t>/nature08620]</w:t>
      </w:r>
    </w:p>
    <w:p w:rsidR="00EB7394" w:rsidRDefault="00EB7394" w:rsidP="00DC4ED3">
      <w:pPr>
        <w:rPr>
          <w:color w:val="C00000"/>
          <w:szCs w:val="24"/>
        </w:rPr>
      </w:pPr>
    </w:p>
    <w:p w:rsidR="00954164" w:rsidRDefault="00954164" w:rsidP="00DC4ED3">
      <w:pPr>
        <w:rPr>
          <w:color w:val="C00000"/>
          <w:szCs w:val="24"/>
        </w:rPr>
      </w:pPr>
    </w:p>
    <w:p w:rsidR="00954164" w:rsidRDefault="00954164" w:rsidP="00DC4ED3">
      <w:pPr>
        <w:rPr>
          <w:color w:val="C00000"/>
          <w:szCs w:val="24"/>
        </w:rPr>
      </w:pPr>
    </w:p>
    <w:p w:rsidR="00954164" w:rsidRPr="00DC4ED3" w:rsidRDefault="00954164" w:rsidP="00DC4ED3">
      <w:pPr>
        <w:rPr>
          <w:color w:val="C00000"/>
          <w:szCs w:val="24"/>
        </w:rPr>
      </w:pPr>
    </w:p>
    <w:p w:rsidR="00483671" w:rsidRPr="00DC4ED3" w:rsidRDefault="00BE1E7A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lastRenderedPageBreak/>
        <w:t>“New Complex Turns H</w:t>
      </w:r>
      <w:r w:rsidRPr="00DC4ED3">
        <w:rPr>
          <w:color w:val="C00000"/>
          <w:szCs w:val="24"/>
          <w:vertAlign w:val="subscript"/>
        </w:rPr>
        <w:t>2</w:t>
      </w:r>
      <w:r w:rsidRPr="00DC4ED3">
        <w:rPr>
          <w:color w:val="C00000"/>
          <w:szCs w:val="24"/>
        </w:rPr>
        <w:t>O to O</w:t>
      </w:r>
      <w:r w:rsidRPr="00DC4ED3">
        <w:rPr>
          <w:color w:val="C00000"/>
          <w:szCs w:val="24"/>
          <w:vertAlign w:val="subscript"/>
        </w:rPr>
        <w:t>2</w:t>
      </w:r>
      <w:r w:rsidR="002F2B3B" w:rsidRPr="00DC4ED3">
        <w:rPr>
          <w:color w:val="C00000"/>
          <w:szCs w:val="24"/>
        </w:rPr>
        <w:t>,</w:t>
      </w:r>
      <w:r w:rsidRPr="00DC4ED3">
        <w:rPr>
          <w:color w:val="C00000"/>
          <w:szCs w:val="24"/>
        </w:rPr>
        <w:t xml:space="preserve">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</w:t>
      </w:r>
      <w:r w:rsidR="002F2B3B" w:rsidRPr="00DC4ED3">
        <w:rPr>
          <w:color w:val="C00000"/>
          <w:szCs w:val="24"/>
        </w:rPr>
        <w:t xml:space="preserve"> </w:t>
      </w:r>
      <w:r w:rsidRPr="00DC4ED3">
        <w:rPr>
          <w:color w:val="C00000"/>
          <w:szCs w:val="24"/>
        </w:rPr>
        <w:t>June 14, 2004</w:t>
      </w:r>
      <w:r w:rsidR="002F2B3B" w:rsidRPr="00DC4ED3">
        <w:rPr>
          <w:color w:val="C00000"/>
          <w:szCs w:val="24"/>
        </w:rPr>
        <w:t>, p 31.</w:t>
      </w:r>
    </w:p>
    <w:p w:rsidR="00BE1E7A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[DOI:10.1021/cen-v082n024.p031]</w:t>
      </w:r>
    </w:p>
    <w:p w:rsidR="00B85F56" w:rsidRPr="008D165B" w:rsidRDefault="00B85F56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Sens</w:t>
      </w:r>
      <w:proofErr w:type="spellEnd"/>
      <w:r w:rsidRPr="008D165B">
        <w:rPr>
          <w:color w:val="000000" w:themeColor="text1"/>
          <w:szCs w:val="24"/>
        </w:rPr>
        <w:t xml:space="preserve">, </w:t>
      </w:r>
      <w:r w:rsidRPr="008D165B">
        <w:rPr>
          <w:i/>
          <w:color w:val="000000" w:themeColor="text1"/>
          <w:szCs w:val="24"/>
        </w:rPr>
        <w:t>et al.</w:t>
      </w:r>
      <w:r w:rsidRPr="008D165B">
        <w:rPr>
          <w:color w:val="000000" w:themeColor="text1"/>
          <w:szCs w:val="24"/>
        </w:rPr>
        <w:t xml:space="preserve">, “A New Ru Complex Capable of Catalytically Oxidizing Water to Molecular </w:t>
      </w:r>
      <w:proofErr w:type="spellStart"/>
      <w:r w:rsidRPr="008D165B">
        <w:rPr>
          <w:color w:val="000000" w:themeColor="text1"/>
          <w:szCs w:val="24"/>
        </w:rPr>
        <w:t>Dioxygen</w:t>
      </w:r>
      <w:proofErr w:type="spellEnd"/>
      <w:r w:rsidRPr="008D165B">
        <w:rPr>
          <w:color w:val="000000" w:themeColor="text1"/>
          <w:szCs w:val="24"/>
        </w:rPr>
        <w:t xml:space="preserve">,” </w:t>
      </w:r>
      <w:r w:rsidR="00BE1E7A" w:rsidRPr="008D165B">
        <w:rPr>
          <w:color w:val="000000" w:themeColor="text1"/>
          <w:szCs w:val="24"/>
          <w:u w:val="single"/>
        </w:rPr>
        <w:t>JACS</w:t>
      </w:r>
      <w:r w:rsidRPr="008D165B">
        <w:rPr>
          <w:color w:val="000000" w:themeColor="text1"/>
          <w:szCs w:val="24"/>
        </w:rPr>
        <w:t>,</w:t>
      </w:r>
      <w:r w:rsidR="00BE1E7A" w:rsidRPr="008D165B">
        <w:rPr>
          <w:color w:val="000000" w:themeColor="text1"/>
          <w:szCs w:val="24"/>
        </w:rPr>
        <w:t xml:space="preserve"> </w:t>
      </w:r>
      <w:r w:rsidRPr="008D165B">
        <w:rPr>
          <w:color w:val="000000" w:themeColor="text1"/>
          <w:szCs w:val="24"/>
        </w:rPr>
        <w:t>126, p 7798-7799 (</w:t>
      </w:r>
      <w:r w:rsidR="00BE1E7A" w:rsidRPr="008D165B">
        <w:rPr>
          <w:color w:val="000000" w:themeColor="text1"/>
          <w:szCs w:val="24"/>
        </w:rPr>
        <w:t>2004</w:t>
      </w:r>
      <w:r w:rsidRPr="008D165B">
        <w:rPr>
          <w:color w:val="000000" w:themeColor="text1"/>
          <w:szCs w:val="24"/>
        </w:rPr>
        <w:t>).</w:t>
      </w:r>
    </w:p>
    <w:p w:rsidR="00BE1E7A" w:rsidRPr="008D165B" w:rsidRDefault="003E40E9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</w:t>
      </w:r>
      <w:r w:rsidR="00BE1E7A" w:rsidRPr="008D165B">
        <w:rPr>
          <w:color w:val="000000" w:themeColor="text1"/>
          <w:szCs w:val="24"/>
        </w:rPr>
        <w:t>10.1021</w:t>
      </w:r>
      <w:proofErr w:type="gramEnd"/>
      <w:r w:rsidR="00BE1E7A" w:rsidRPr="008D165B">
        <w:rPr>
          <w:color w:val="000000" w:themeColor="text1"/>
          <w:szCs w:val="24"/>
        </w:rPr>
        <w:t>/ja0486824]</w:t>
      </w:r>
    </w:p>
    <w:p w:rsidR="003D50C1" w:rsidRPr="00DC4ED3" w:rsidRDefault="003D50C1" w:rsidP="00DC4ED3">
      <w:pPr>
        <w:ind w:left="720"/>
        <w:rPr>
          <w:color w:val="000000" w:themeColor="text1"/>
          <w:szCs w:val="24"/>
        </w:rPr>
      </w:pPr>
    </w:p>
    <w:p w:rsidR="00131958" w:rsidRDefault="00E70055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“</w:t>
      </w:r>
      <w:proofErr w:type="spellStart"/>
      <w:r w:rsidRPr="00DC4ED3">
        <w:rPr>
          <w:color w:val="C00000"/>
          <w:szCs w:val="24"/>
        </w:rPr>
        <w:t>Nitrogenase</w:t>
      </w:r>
      <w:proofErr w:type="spellEnd"/>
      <w:r w:rsidRPr="00DC4ED3">
        <w:rPr>
          <w:color w:val="C00000"/>
          <w:szCs w:val="24"/>
        </w:rPr>
        <w:t xml:space="preserve"> Application a Stretch,” (letter by J.P. </w:t>
      </w:r>
      <w:proofErr w:type="spellStart"/>
      <w:r w:rsidRPr="00DC4ED3">
        <w:rPr>
          <w:color w:val="C00000"/>
          <w:szCs w:val="24"/>
        </w:rPr>
        <w:t>Collman</w:t>
      </w:r>
      <w:proofErr w:type="spellEnd"/>
      <w:r w:rsidRPr="00DC4ED3">
        <w:rPr>
          <w:color w:val="C00000"/>
          <w:szCs w:val="24"/>
        </w:rPr>
        <w:t xml:space="preserve">)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November 19, 2002, p 8-9.</w:t>
      </w:r>
    </w:p>
    <w:p w:rsidR="00E70055" w:rsidRPr="008D165B" w:rsidRDefault="00EB7394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[DOI:10.1021/cen-v080n046.p006]</w:t>
      </w:r>
    </w:p>
    <w:p w:rsidR="00E70055" w:rsidRPr="00DC4ED3" w:rsidRDefault="00E70055" w:rsidP="00DC4ED3">
      <w:pPr>
        <w:ind w:left="720"/>
        <w:rPr>
          <w:szCs w:val="24"/>
        </w:rPr>
      </w:pPr>
    </w:p>
    <w:p w:rsidR="00483671" w:rsidRPr="00DC4ED3" w:rsidRDefault="00BE1E7A" w:rsidP="00DC4ED3">
      <w:pPr>
        <w:rPr>
          <w:color w:val="00B050"/>
          <w:szCs w:val="24"/>
        </w:rPr>
      </w:pPr>
      <w:r w:rsidRPr="00DC4ED3">
        <w:rPr>
          <w:color w:val="C00000"/>
          <w:szCs w:val="24"/>
        </w:rPr>
        <w:t>“</w:t>
      </w:r>
      <w:proofErr w:type="spellStart"/>
      <w:r w:rsidRPr="00DC4ED3">
        <w:rPr>
          <w:color w:val="C00000"/>
          <w:szCs w:val="24"/>
        </w:rPr>
        <w:t>Nitrogenase</w:t>
      </w:r>
      <w:proofErr w:type="spellEnd"/>
      <w:r w:rsidRPr="00DC4ED3">
        <w:rPr>
          <w:color w:val="C00000"/>
          <w:szCs w:val="24"/>
        </w:rPr>
        <w:t xml:space="preserve"> Keeps Surprising,”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Sept 9, 2002, p 9.</w:t>
      </w:r>
      <w:r w:rsidR="00EB7394" w:rsidRPr="00DC4ED3">
        <w:rPr>
          <w:color w:val="00B050"/>
          <w:szCs w:val="24"/>
        </w:rPr>
        <w:t xml:space="preserve"> </w:t>
      </w:r>
    </w:p>
    <w:p w:rsidR="00BE1E7A" w:rsidRPr="008D165B" w:rsidRDefault="00EB7394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[DOI:10.1021/cen-v080n036.p009]</w:t>
      </w:r>
    </w:p>
    <w:p w:rsidR="00BB3132" w:rsidRPr="008D165B" w:rsidRDefault="00BE1E7A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Einsle</w:t>
      </w:r>
      <w:proofErr w:type="spellEnd"/>
      <w:r w:rsidRPr="008D165B">
        <w:rPr>
          <w:color w:val="000000" w:themeColor="text1"/>
          <w:szCs w:val="24"/>
        </w:rPr>
        <w:t xml:space="preserve"> </w:t>
      </w:r>
      <w:r w:rsidRPr="008D165B">
        <w:rPr>
          <w:i/>
          <w:color w:val="000000" w:themeColor="text1"/>
          <w:szCs w:val="24"/>
        </w:rPr>
        <w:t>et al.,</w:t>
      </w:r>
      <w:r w:rsidRPr="008D165B">
        <w:rPr>
          <w:color w:val="000000" w:themeColor="text1"/>
          <w:szCs w:val="24"/>
        </w:rPr>
        <w:t xml:space="preserve"> “</w:t>
      </w:r>
      <w:proofErr w:type="spellStart"/>
      <w:r w:rsidRPr="008D165B">
        <w:rPr>
          <w:color w:val="000000" w:themeColor="text1"/>
          <w:szCs w:val="24"/>
        </w:rPr>
        <w:t>Nitrogenase</w:t>
      </w:r>
      <w:proofErr w:type="spellEnd"/>
      <w:r w:rsidRPr="008D165B">
        <w:rPr>
          <w:color w:val="000000" w:themeColor="text1"/>
          <w:szCs w:val="24"/>
        </w:rPr>
        <w:t xml:space="preserve"> </w:t>
      </w:r>
      <w:proofErr w:type="spellStart"/>
      <w:r w:rsidRPr="008D165B">
        <w:rPr>
          <w:color w:val="000000" w:themeColor="text1"/>
          <w:szCs w:val="24"/>
        </w:rPr>
        <w:t>MoFe</w:t>
      </w:r>
      <w:proofErr w:type="spellEnd"/>
      <w:r w:rsidRPr="008D165B">
        <w:rPr>
          <w:color w:val="000000" w:themeColor="text1"/>
          <w:szCs w:val="24"/>
        </w:rPr>
        <w:t xml:space="preserve">-Protein at 1.16Å Resolution: A Central Ligand in the </w:t>
      </w:r>
      <w:proofErr w:type="spellStart"/>
      <w:r w:rsidRPr="008D165B">
        <w:rPr>
          <w:color w:val="000000" w:themeColor="text1"/>
          <w:szCs w:val="24"/>
        </w:rPr>
        <w:t>FeMo</w:t>
      </w:r>
      <w:proofErr w:type="spellEnd"/>
      <w:r w:rsidRPr="008D165B">
        <w:rPr>
          <w:color w:val="000000" w:themeColor="text1"/>
          <w:szCs w:val="24"/>
        </w:rPr>
        <w:t xml:space="preserve">-Cofactor”, </w:t>
      </w:r>
      <w:r w:rsidRPr="008D165B">
        <w:rPr>
          <w:color w:val="000000" w:themeColor="text1"/>
          <w:szCs w:val="24"/>
          <w:u w:val="single"/>
        </w:rPr>
        <w:t>Science</w:t>
      </w:r>
      <w:r w:rsidRPr="008D165B">
        <w:rPr>
          <w:color w:val="000000" w:themeColor="text1"/>
          <w:szCs w:val="24"/>
        </w:rPr>
        <w:t>, 297, 1696-1699 (2002).</w:t>
      </w:r>
      <w:r w:rsidR="00BB3132" w:rsidRPr="008D165B">
        <w:rPr>
          <w:color w:val="000000" w:themeColor="text1"/>
          <w:szCs w:val="24"/>
        </w:rPr>
        <w:t xml:space="preserve"> </w:t>
      </w:r>
    </w:p>
    <w:p w:rsidR="00BE1E7A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[DOI:10.1126/science.1073877]</w:t>
      </w:r>
    </w:p>
    <w:p w:rsidR="00E70055" w:rsidRDefault="00E70055" w:rsidP="00DC4ED3">
      <w:pPr>
        <w:rPr>
          <w:szCs w:val="24"/>
        </w:rPr>
      </w:pPr>
    </w:p>
    <w:p w:rsidR="00131958" w:rsidRPr="00DC4ED3" w:rsidRDefault="00131958" w:rsidP="00DC4ED3">
      <w:pPr>
        <w:rPr>
          <w:szCs w:val="24"/>
        </w:rPr>
      </w:pPr>
    </w:p>
    <w:p w:rsidR="00483671" w:rsidRPr="00DC4ED3" w:rsidRDefault="002F2B3B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"Can We Exploit </w:t>
      </w:r>
      <w:proofErr w:type="spellStart"/>
      <w:r w:rsidRPr="00DC4ED3">
        <w:rPr>
          <w:color w:val="C00000"/>
          <w:szCs w:val="24"/>
        </w:rPr>
        <w:t>Hydrogenases</w:t>
      </w:r>
      <w:proofErr w:type="spellEnd"/>
      <w:r w:rsidRPr="00DC4ED3">
        <w:rPr>
          <w:color w:val="C00000"/>
          <w:szCs w:val="24"/>
        </w:rPr>
        <w:t xml:space="preserve">?" </w:t>
      </w:r>
      <w:r w:rsidR="00E70055"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July 22, 2002, p 35-39.</w:t>
      </w:r>
    </w:p>
    <w:p w:rsidR="00E70055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[DOI:10.1021/cen-v080n029.p035]</w:t>
      </w:r>
    </w:p>
    <w:p w:rsidR="00BB3132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Zhao,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 xml:space="preserve">., “H/D Exchange Reactions in </w:t>
      </w:r>
      <w:proofErr w:type="spellStart"/>
      <w:r w:rsidRPr="008D165B">
        <w:rPr>
          <w:color w:val="000000" w:themeColor="text1"/>
          <w:szCs w:val="24"/>
        </w:rPr>
        <w:t>Dinuclear</w:t>
      </w:r>
      <w:proofErr w:type="spellEnd"/>
      <w:r w:rsidRPr="008D165B">
        <w:rPr>
          <w:color w:val="000000" w:themeColor="text1"/>
          <w:szCs w:val="24"/>
        </w:rPr>
        <w:t xml:space="preserve"> Iron </w:t>
      </w:r>
      <w:proofErr w:type="spellStart"/>
      <w:r w:rsidRPr="008D165B">
        <w:rPr>
          <w:color w:val="000000" w:themeColor="text1"/>
          <w:szCs w:val="24"/>
        </w:rPr>
        <w:t>Thiolates</w:t>
      </w:r>
      <w:proofErr w:type="spellEnd"/>
      <w:r w:rsidRPr="008D165B">
        <w:rPr>
          <w:color w:val="000000" w:themeColor="text1"/>
          <w:szCs w:val="24"/>
        </w:rPr>
        <w:t xml:space="preserve"> as Activity Assay Models of Fe-H2ase,” </w:t>
      </w:r>
      <w:r w:rsidR="003D50C1" w:rsidRPr="008D165B">
        <w:rPr>
          <w:color w:val="000000" w:themeColor="text1"/>
          <w:szCs w:val="24"/>
          <w:u w:val="single"/>
        </w:rPr>
        <w:t>JACS</w:t>
      </w:r>
      <w:r w:rsidR="003D50C1" w:rsidRPr="008D165B">
        <w:rPr>
          <w:color w:val="000000" w:themeColor="text1"/>
          <w:szCs w:val="24"/>
        </w:rPr>
        <w:t>, 123, 9710</w:t>
      </w:r>
      <w:r w:rsidRPr="008D165B">
        <w:rPr>
          <w:color w:val="000000" w:themeColor="text1"/>
          <w:szCs w:val="24"/>
        </w:rPr>
        <w:t>-9711</w:t>
      </w:r>
      <w:r w:rsidR="003D50C1" w:rsidRPr="008D165B">
        <w:rPr>
          <w:color w:val="000000" w:themeColor="text1"/>
          <w:szCs w:val="24"/>
        </w:rPr>
        <w:t xml:space="preserve"> (2001)</w:t>
      </w:r>
      <w:r w:rsidRPr="008D165B">
        <w:rPr>
          <w:color w:val="000000" w:themeColor="text1"/>
          <w:szCs w:val="24"/>
        </w:rPr>
        <w:t xml:space="preserve">. </w:t>
      </w:r>
    </w:p>
    <w:p w:rsidR="00E70055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:10.1021</w:t>
      </w:r>
      <w:proofErr w:type="gramEnd"/>
      <w:r w:rsidRPr="008D165B">
        <w:rPr>
          <w:color w:val="000000" w:themeColor="text1"/>
          <w:szCs w:val="24"/>
        </w:rPr>
        <w:t>/ja0167046]</w:t>
      </w:r>
    </w:p>
    <w:p w:rsidR="00131958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Fan and Hall, “A Capable Bridging Ligand for Fe-Only </w:t>
      </w:r>
      <w:proofErr w:type="spellStart"/>
      <w:r w:rsidRPr="008D165B">
        <w:rPr>
          <w:color w:val="000000" w:themeColor="text1"/>
          <w:szCs w:val="24"/>
        </w:rPr>
        <w:t>Hydrogenase</w:t>
      </w:r>
      <w:proofErr w:type="spellEnd"/>
      <w:r w:rsidRPr="008D165B">
        <w:rPr>
          <w:color w:val="000000" w:themeColor="text1"/>
          <w:szCs w:val="24"/>
        </w:rPr>
        <w:t xml:space="preserve">,” </w:t>
      </w:r>
      <w:r w:rsidR="003D50C1" w:rsidRPr="008D165B">
        <w:rPr>
          <w:color w:val="000000" w:themeColor="text1"/>
          <w:szCs w:val="24"/>
          <w:u w:val="single"/>
        </w:rPr>
        <w:t>JACS</w:t>
      </w:r>
      <w:r w:rsidRPr="008D165B">
        <w:rPr>
          <w:color w:val="000000" w:themeColor="text1"/>
          <w:szCs w:val="24"/>
        </w:rPr>
        <w:t>,</w:t>
      </w:r>
      <w:r w:rsidR="003D50C1" w:rsidRPr="008D165B">
        <w:rPr>
          <w:color w:val="000000" w:themeColor="text1"/>
          <w:szCs w:val="24"/>
        </w:rPr>
        <w:t xml:space="preserve"> 123, 3828 (2001)</w:t>
      </w:r>
      <w:r w:rsidRPr="008D165B">
        <w:rPr>
          <w:color w:val="000000" w:themeColor="text1"/>
          <w:szCs w:val="24"/>
        </w:rPr>
        <w:t xml:space="preserve">. </w:t>
      </w:r>
    </w:p>
    <w:p w:rsidR="003D50C1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:10.1021</w:t>
      </w:r>
      <w:proofErr w:type="gramEnd"/>
      <w:r w:rsidRPr="008D165B">
        <w:rPr>
          <w:color w:val="000000" w:themeColor="text1"/>
          <w:szCs w:val="24"/>
        </w:rPr>
        <w:t>/ja004120i]</w:t>
      </w:r>
    </w:p>
    <w:p w:rsidR="003D50C1" w:rsidRPr="00DC4ED3" w:rsidRDefault="003D50C1" w:rsidP="00DC4ED3">
      <w:pPr>
        <w:rPr>
          <w:szCs w:val="24"/>
        </w:rPr>
      </w:pPr>
    </w:p>
    <w:p w:rsidR="00483671" w:rsidRPr="00DC4ED3" w:rsidRDefault="00E70055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"Iron </w:t>
      </w:r>
      <w:proofErr w:type="spellStart"/>
      <w:r w:rsidRPr="00DC4ED3">
        <w:rPr>
          <w:color w:val="C00000"/>
          <w:szCs w:val="24"/>
        </w:rPr>
        <w:t>Chelator</w:t>
      </w:r>
      <w:proofErr w:type="spellEnd"/>
      <w:r w:rsidRPr="00DC4ED3">
        <w:rPr>
          <w:color w:val="C00000"/>
          <w:szCs w:val="24"/>
        </w:rPr>
        <w:t xml:space="preserve"> Prevents Bacterial Biofilm Formation</w:t>
      </w:r>
      <w:r w:rsidR="002F2B3B" w:rsidRPr="00DC4ED3">
        <w:rPr>
          <w:color w:val="C00000"/>
          <w:szCs w:val="24"/>
        </w:rPr>
        <w:t xml:space="preserve">," </w:t>
      </w:r>
      <w:r w:rsidRPr="00DC4ED3">
        <w:rPr>
          <w:color w:val="C00000"/>
          <w:szCs w:val="24"/>
          <w:u w:val="single"/>
        </w:rPr>
        <w:t>C&amp;E News</w:t>
      </w:r>
      <w:r w:rsidR="002F2B3B" w:rsidRPr="00DC4ED3">
        <w:rPr>
          <w:color w:val="C00000"/>
          <w:szCs w:val="24"/>
        </w:rPr>
        <w:t>, June 3, 2002, p 31.</w:t>
      </w:r>
    </w:p>
    <w:p w:rsidR="00E70055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[DOI:10.1021/cen-v080n022.p031]</w:t>
      </w:r>
    </w:p>
    <w:p w:rsidR="00BB3132" w:rsidRPr="008D165B" w:rsidRDefault="00E70055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Singh, </w:t>
      </w:r>
      <w:r w:rsidRPr="008D165B">
        <w:rPr>
          <w:i/>
          <w:color w:val="000000" w:themeColor="text1"/>
          <w:szCs w:val="24"/>
        </w:rPr>
        <w:t>et al.,</w:t>
      </w:r>
      <w:r w:rsidRPr="008D165B">
        <w:rPr>
          <w:color w:val="000000" w:themeColor="text1"/>
          <w:szCs w:val="24"/>
        </w:rPr>
        <w:t xml:space="preserve"> “A Component of Innate Immunity Prevents Bacterial Biofilm Development”, </w:t>
      </w:r>
      <w:r w:rsidRPr="008D165B">
        <w:rPr>
          <w:color w:val="000000" w:themeColor="text1"/>
          <w:szCs w:val="24"/>
          <w:u w:val="single"/>
        </w:rPr>
        <w:t>Nature</w:t>
      </w:r>
      <w:r w:rsidRPr="008D165B">
        <w:rPr>
          <w:color w:val="000000" w:themeColor="text1"/>
          <w:szCs w:val="24"/>
        </w:rPr>
        <w:t>, 417, 552-555 (2002)</w:t>
      </w:r>
      <w:r w:rsidR="00BB3132" w:rsidRPr="008D165B">
        <w:rPr>
          <w:color w:val="000000" w:themeColor="text1"/>
          <w:szCs w:val="24"/>
        </w:rPr>
        <w:t xml:space="preserve">. </w:t>
      </w:r>
    </w:p>
    <w:p w:rsidR="00E70055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:10.1038</w:t>
      </w:r>
      <w:proofErr w:type="gramEnd"/>
      <w:r w:rsidRPr="008D165B">
        <w:rPr>
          <w:color w:val="000000" w:themeColor="text1"/>
          <w:szCs w:val="24"/>
        </w:rPr>
        <w:t>/417552a]</w:t>
      </w:r>
    </w:p>
    <w:p w:rsidR="00E70055" w:rsidRPr="00DC4ED3" w:rsidRDefault="00E70055" w:rsidP="00DC4ED3">
      <w:pPr>
        <w:rPr>
          <w:szCs w:val="24"/>
        </w:rPr>
      </w:pPr>
    </w:p>
    <w:p w:rsidR="00483671" w:rsidRPr="00DC4ED3" w:rsidRDefault="00BE1E7A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“Women in Chemistry</w:t>
      </w:r>
      <w:r w:rsidR="002F2B3B" w:rsidRPr="00DC4ED3">
        <w:rPr>
          <w:color w:val="C00000"/>
          <w:szCs w:val="24"/>
        </w:rPr>
        <w:t>,</w:t>
      </w:r>
      <w:r w:rsidRPr="00DC4ED3">
        <w:rPr>
          <w:color w:val="C00000"/>
          <w:szCs w:val="24"/>
        </w:rPr>
        <w:t xml:space="preserve">” </w:t>
      </w:r>
      <w:r w:rsidRPr="00DC4ED3">
        <w:rPr>
          <w:color w:val="C00000"/>
          <w:szCs w:val="24"/>
          <w:u w:val="single"/>
        </w:rPr>
        <w:t>C&amp;E News</w:t>
      </w:r>
      <w:r w:rsidR="002F2B3B" w:rsidRPr="00DC4ED3">
        <w:rPr>
          <w:color w:val="C00000"/>
          <w:szCs w:val="24"/>
        </w:rPr>
        <w:t xml:space="preserve">, May 6, 2002, p 56. </w:t>
      </w:r>
    </w:p>
    <w:p w:rsidR="00BE1E7A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[DOI:10.1021/cen-v080n018.p056]</w:t>
      </w:r>
    </w:p>
    <w:p w:rsidR="00BE1E7A" w:rsidRPr="00DC4ED3" w:rsidRDefault="00131958" w:rsidP="00131958">
      <w:pPr>
        <w:ind w:left="360"/>
        <w:rPr>
          <w:szCs w:val="24"/>
        </w:rPr>
      </w:pPr>
      <w:r>
        <w:rPr>
          <w:szCs w:val="24"/>
        </w:rPr>
        <w:t xml:space="preserve"> </w:t>
      </w:r>
      <w:r w:rsidR="00BE1E7A" w:rsidRPr="00DC4ED3">
        <w:rPr>
          <w:szCs w:val="24"/>
        </w:rPr>
        <w:t>“Strong and healthy, the bioinorganic field provides supportive environment.”</w:t>
      </w:r>
    </w:p>
    <w:p w:rsidR="006C1F72" w:rsidRPr="00DC4ED3" w:rsidRDefault="006C1F72" w:rsidP="00DC4ED3">
      <w:pPr>
        <w:rPr>
          <w:szCs w:val="24"/>
        </w:rPr>
      </w:pPr>
    </w:p>
    <w:p w:rsidR="00483671" w:rsidRPr="00DC4ED3" w:rsidRDefault="00BE1E7A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"Pumping Iron, Bacteria-style</w:t>
      </w:r>
      <w:r w:rsidR="002F2B3B" w:rsidRPr="00DC4ED3">
        <w:rPr>
          <w:color w:val="C00000"/>
          <w:szCs w:val="24"/>
        </w:rPr>
        <w:t>,"</w:t>
      </w:r>
      <w:r w:rsidR="002F2B3B" w:rsidRPr="00DC4ED3">
        <w:rPr>
          <w:color w:val="C00000"/>
          <w:szCs w:val="24"/>
          <w:u w:val="single"/>
        </w:rPr>
        <w:t xml:space="preserve"> </w:t>
      </w:r>
      <w:r w:rsidRPr="00DC4ED3">
        <w:rPr>
          <w:color w:val="C00000"/>
          <w:szCs w:val="24"/>
          <w:u w:val="single"/>
        </w:rPr>
        <w:t>C&amp;E News,</w:t>
      </w:r>
      <w:r w:rsidR="002F2B3B" w:rsidRPr="00DC4ED3">
        <w:rPr>
          <w:color w:val="C00000"/>
          <w:szCs w:val="24"/>
        </w:rPr>
        <w:t xml:space="preserve"> March 4, 2002, p 13. </w:t>
      </w:r>
    </w:p>
    <w:p w:rsidR="00BE1E7A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[DOI:10.1021/cen-v080n009.p013a]</w:t>
      </w:r>
    </w:p>
    <w:p w:rsidR="00BB3132" w:rsidRPr="008D165B" w:rsidRDefault="00BE1E7A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Ferguson,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 xml:space="preserve">., "Structural Basis of Gating by the Outer Membrane Transporter </w:t>
      </w:r>
      <w:proofErr w:type="spellStart"/>
      <w:r w:rsidRPr="008D165B">
        <w:rPr>
          <w:color w:val="000000" w:themeColor="text1"/>
          <w:szCs w:val="24"/>
        </w:rPr>
        <w:t>FecA</w:t>
      </w:r>
      <w:proofErr w:type="spellEnd"/>
      <w:r w:rsidRPr="008D165B">
        <w:rPr>
          <w:color w:val="000000" w:themeColor="text1"/>
          <w:szCs w:val="24"/>
        </w:rPr>
        <w:t xml:space="preserve">," </w:t>
      </w:r>
      <w:r w:rsidRPr="008D165B">
        <w:rPr>
          <w:color w:val="000000" w:themeColor="text1"/>
          <w:szCs w:val="24"/>
          <w:u w:val="single"/>
        </w:rPr>
        <w:t>Science</w:t>
      </w:r>
      <w:r w:rsidRPr="008D165B">
        <w:rPr>
          <w:color w:val="000000" w:themeColor="text1"/>
          <w:szCs w:val="24"/>
        </w:rPr>
        <w:t>, 295, 1715-1719 (2002)</w:t>
      </w:r>
      <w:r w:rsidR="00BB3132" w:rsidRPr="008D165B">
        <w:rPr>
          <w:color w:val="000000" w:themeColor="text1"/>
          <w:szCs w:val="24"/>
        </w:rPr>
        <w:t xml:space="preserve">. </w:t>
      </w:r>
    </w:p>
    <w:p w:rsidR="00BE1E7A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[DOI:10.1126/science.1067313]</w:t>
      </w:r>
    </w:p>
    <w:p w:rsidR="00BE1E7A" w:rsidRDefault="00BE1E7A" w:rsidP="00DC4ED3">
      <w:pPr>
        <w:rPr>
          <w:szCs w:val="24"/>
        </w:rPr>
      </w:pPr>
    </w:p>
    <w:p w:rsidR="00954164" w:rsidRDefault="00954164" w:rsidP="00DC4ED3">
      <w:pPr>
        <w:rPr>
          <w:szCs w:val="24"/>
        </w:rPr>
      </w:pPr>
    </w:p>
    <w:p w:rsidR="00954164" w:rsidRDefault="00954164" w:rsidP="00DC4ED3">
      <w:pPr>
        <w:rPr>
          <w:szCs w:val="24"/>
        </w:rPr>
      </w:pPr>
    </w:p>
    <w:p w:rsidR="00954164" w:rsidRPr="00DC4ED3" w:rsidRDefault="00954164" w:rsidP="00DC4ED3">
      <w:pPr>
        <w:rPr>
          <w:szCs w:val="24"/>
        </w:rPr>
      </w:pPr>
    </w:p>
    <w:p w:rsidR="00483671" w:rsidRPr="00DC4ED3" w:rsidRDefault="00BE1E7A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lastRenderedPageBreak/>
        <w:t>"S</w:t>
      </w:r>
      <w:r w:rsidR="002F2B3B" w:rsidRPr="00DC4ED3">
        <w:rPr>
          <w:color w:val="C00000"/>
          <w:szCs w:val="24"/>
        </w:rPr>
        <w:t>unlight Affects Iron Cycles in t</w:t>
      </w:r>
      <w:r w:rsidRPr="00DC4ED3">
        <w:rPr>
          <w:color w:val="C00000"/>
          <w:szCs w:val="24"/>
        </w:rPr>
        <w:t>he Ocean</w:t>
      </w:r>
      <w:r w:rsidR="002F2B3B" w:rsidRPr="00DC4ED3">
        <w:rPr>
          <w:color w:val="C00000"/>
          <w:szCs w:val="24"/>
        </w:rPr>
        <w:t xml:space="preserve">," </w:t>
      </w:r>
      <w:r w:rsidRPr="00DC4ED3">
        <w:rPr>
          <w:color w:val="C00000"/>
          <w:szCs w:val="24"/>
          <w:u w:val="single"/>
        </w:rPr>
        <w:t>C&amp;E News</w:t>
      </w:r>
      <w:r w:rsidR="002F2B3B" w:rsidRPr="00DC4ED3">
        <w:rPr>
          <w:color w:val="C00000"/>
          <w:szCs w:val="24"/>
        </w:rPr>
        <w:t xml:space="preserve">, Oct. 1, 2001, p 17. </w:t>
      </w:r>
    </w:p>
    <w:p w:rsidR="00BE1E7A" w:rsidRPr="008D165B" w:rsidRDefault="002F2B3B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</w:t>
      </w:r>
      <w:r w:rsidR="00483671" w:rsidRPr="008D165B">
        <w:rPr>
          <w:color w:val="000000" w:themeColor="text1"/>
          <w:szCs w:val="24"/>
        </w:rPr>
        <w:t>v07</w:t>
      </w:r>
      <w:r w:rsidRPr="008D165B">
        <w:rPr>
          <w:color w:val="000000" w:themeColor="text1"/>
          <w:szCs w:val="24"/>
        </w:rPr>
        <w:t>9n0</w:t>
      </w:r>
      <w:r w:rsidR="00483671" w:rsidRPr="008D165B">
        <w:rPr>
          <w:color w:val="000000" w:themeColor="text1"/>
          <w:szCs w:val="24"/>
        </w:rPr>
        <w:t>40.p017a]</w:t>
      </w:r>
    </w:p>
    <w:p w:rsidR="00BE1E7A" w:rsidRPr="008D165B" w:rsidRDefault="00BE1E7A" w:rsidP="00131958">
      <w:pPr>
        <w:ind w:left="360"/>
        <w:rPr>
          <w:color w:val="000000" w:themeColor="text1"/>
          <w:szCs w:val="24"/>
        </w:rPr>
      </w:pPr>
      <w:proofErr w:type="spellStart"/>
      <w:r w:rsidRPr="008D165B">
        <w:rPr>
          <w:color w:val="000000" w:themeColor="text1"/>
          <w:szCs w:val="24"/>
        </w:rPr>
        <w:t>Barbeau</w:t>
      </w:r>
      <w:proofErr w:type="spellEnd"/>
      <w:r w:rsidRPr="008D165B">
        <w:rPr>
          <w:color w:val="000000" w:themeColor="text1"/>
          <w:szCs w:val="24"/>
        </w:rPr>
        <w:t xml:space="preserve">,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 xml:space="preserve">., "Photochemical Cycling of Iron in the Surface Ocean Mediated by Microbial </w:t>
      </w:r>
      <w:proofErr w:type="gramStart"/>
      <w:r w:rsidRPr="008D165B">
        <w:rPr>
          <w:color w:val="000000" w:themeColor="text1"/>
          <w:szCs w:val="24"/>
        </w:rPr>
        <w:t>Iron(</w:t>
      </w:r>
      <w:proofErr w:type="gramEnd"/>
      <w:r w:rsidRPr="008D165B">
        <w:rPr>
          <w:color w:val="000000" w:themeColor="text1"/>
          <w:szCs w:val="24"/>
        </w:rPr>
        <w:t xml:space="preserve">III)-binding Ligands," </w:t>
      </w:r>
      <w:r w:rsidRPr="008D165B">
        <w:rPr>
          <w:color w:val="000000" w:themeColor="text1"/>
          <w:szCs w:val="24"/>
          <w:u w:val="single"/>
        </w:rPr>
        <w:t>Nature</w:t>
      </w:r>
      <w:r w:rsidR="00BB3132" w:rsidRPr="008D165B">
        <w:rPr>
          <w:color w:val="000000" w:themeColor="text1"/>
          <w:szCs w:val="24"/>
        </w:rPr>
        <w:t>, 413, 409-413 (</w:t>
      </w:r>
      <w:r w:rsidRPr="008D165B">
        <w:rPr>
          <w:color w:val="000000" w:themeColor="text1"/>
          <w:szCs w:val="24"/>
        </w:rPr>
        <w:t>2001)</w:t>
      </w:r>
      <w:r w:rsidR="00BB3132" w:rsidRPr="008D165B">
        <w:rPr>
          <w:color w:val="000000" w:themeColor="text1"/>
          <w:szCs w:val="24"/>
        </w:rPr>
        <w:t>.</w:t>
      </w:r>
    </w:p>
    <w:p w:rsidR="00BB3132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</w:t>
      </w:r>
      <w:proofErr w:type="gramStart"/>
      <w:r w:rsidRPr="008D165B">
        <w:rPr>
          <w:color w:val="000000" w:themeColor="text1"/>
          <w:szCs w:val="24"/>
        </w:rPr>
        <w:t>:10.1038</w:t>
      </w:r>
      <w:proofErr w:type="gramEnd"/>
      <w:r w:rsidRPr="008D165B">
        <w:rPr>
          <w:color w:val="000000" w:themeColor="text1"/>
          <w:szCs w:val="24"/>
        </w:rPr>
        <w:t>/35096545]</w:t>
      </w:r>
    </w:p>
    <w:p w:rsidR="00BE1E7A" w:rsidRPr="00DC4ED3" w:rsidRDefault="00BE1E7A" w:rsidP="00DC4ED3">
      <w:pPr>
        <w:rPr>
          <w:szCs w:val="24"/>
        </w:rPr>
      </w:pPr>
    </w:p>
    <w:p w:rsidR="00483671" w:rsidRPr="00DC4ED3" w:rsidRDefault="00EB7394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"Iron-Sulfur Proteins,"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November 20, 2000, p 43-51.</w:t>
      </w:r>
      <w:r w:rsidR="00483671" w:rsidRPr="00DC4ED3">
        <w:rPr>
          <w:color w:val="C00000"/>
          <w:szCs w:val="24"/>
        </w:rPr>
        <w:t xml:space="preserve"> </w:t>
      </w:r>
    </w:p>
    <w:p w:rsidR="00EB7394" w:rsidRPr="00DC4ED3" w:rsidRDefault="00483671" w:rsidP="00DC4ED3">
      <w:pPr>
        <w:rPr>
          <w:color w:val="C00000"/>
          <w:szCs w:val="24"/>
        </w:rPr>
      </w:pPr>
      <w:r w:rsidRPr="008D165B">
        <w:rPr>
          <w:color w:val="000000" w:themeColor="text1"/>
          <w:szCs w:val="24"/>
        </w:rPr>
        <w:t>[DOI:10.1021/cen-v078n047.p043]</w:t>
      </w:r>
    </w:p>
    <w:p w:rsidR="00EB7394" w:rsidRPr="00DC4ED3" w:rsidRDefault="00EB7394" w:rsidP="00DC4ED3">
      <w:pPr>
        <w:rPr>
          <w:szCs w:val="24"/>
        </w:rPr>
      </w:pPr>
    </w:p>
    <w:p w:rsidR="00483671" w:rsidRPr="00DC4ED3" w:rsidRDefault="00483671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"Iron-oxidizing Organism Passes an Acid Test,"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March 13, 2000, p 41.</w:t>
      </w:r>
    </w:p>
    <w:p w:rsidR="00483671" w:rsidRPr="008D165B" w:rsidRDefault="00483671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 [DOI:10.1021/cen-v078n011.p041]</w:t>
      </w:r>
    </w:p>
    <w:p w:rsidR="00483671" w:rsidRPr="008D165B" w:rsidRDefault="00483671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Edwards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 xml:space="preserve">., "An </w:t>
      </w:r>
      <w:proofErr w:type="spellStart"/>
      <w:r w:rsidRPr="008D165B">
        <w:rPr>
          <w:color w:val="000000" w:themeColor="text1"/>
          <w:szCs w:val="24"/>
        </w:rPr>
        <w:t>Archael</w:t>
      </w:r>
      <w:proofErr w:type="spellEnd"/>
      <w:r w:rsidRPr="008D165B">
        <w:rPr>
          <w:color w:val="000000" w:themeColor="text1"/>
          <w:szCs w:val="24"/>
        </w:rPr>
        <w:t xml:space="preserve"> Iron-Oxidizing Extreme </w:t>
      </w:r>
      <w:proofErr w:type="spellStart"/>
      <w:r w:rsidRPr="008D165B">
        <w:rPr>
          <w:color w:val="000000" w:themeColor="text1"/>
          <w:szCs w:val="24"/>
        </w:rPr>
        <w:t>Acidophile</w:t>
      </w:r>
      <w:proofErr w:type="spellEnd"/>
      <w:r w:rsidRPr="008D165B">
        <w:rPr>
          <w:color w:val="000000" w:themeColor="text1"/>
          <w:szCs w:val="24"/>
        </w:rPr>
        <w:t xml:space="preserve"> Important in Acid Mine Drainage," </w:t>
      </w:r>
      <w:r w:rsidRPr="008D165B">
        <w:rPr>
          <w:color w:val="000000" w:themeColor="text1"/>
          <w:szCs w:val="24"/>
          <w:u w:val="single"/>
        </w:rPr>
        <w:t>Science</w:t>
      </w:r>
      <w:r w:rsidRPr="008D165B">
        <w:rPr>
          <w:color w:val="000000" w:themeColor="text1"/>
          <w:szCs w:val="24"/>
        </w:rPr>
        <w:t>, 287, 1796-1799 (2000)</w:t>
      </w:r>
      <w:r w:rsidR="00BB3132" w:rsidRPr="008D165B">
        <w:rPr>
          <w:color w:val="000000" w:themeColor="text1"/>
          <w:szCs w:val="24"/>
        </w:rPr>
        <w:t>.</w:t>
      </w:r>
    </w:p>
    <w:p w:rsidR="00BB3132" w:rsidRPr="008D165B" w:rsidRDefault="00BB313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[DOI:10.1126/science.287.5459.1796]</w:t>
      </w:r>
    </w:p>
    <w:p w:rsidR="00131958" w:rsidRDefault="00131958" w:rsidP="00DC4ED3">
      <w:pPr>
        <w:rPr>
          <w:color w:val="C00000"/>
          <w:szCs w:val="24"/>
        </w:rPr>
      </w:pPr>
      <w:bookmarkStart w:id="0" w:name="_GoBack"/>
      <w:bookmarkEnd w:id="0"/>
    </w:p>
    <w:p w:rsidR="00483671" w:rsidRPr="00DC4ED3" w:rsidRDefault="00E70055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>"Iron Binding Causes Biomolecules to Reassemble</w:t>
      </w:r>
      <w:r w:rsidR="00483671" w:rsidRPr="00DC4ED3">
        <w:rPr>
          <w:color w:val="C00000"/>
          <w:szCs w:val="24"/>
        </w:rPr>
        <w:t xml:space="preserve">," </w:t>
      </w:r>
      <w:r w:rsidRPr="00DC4ED3">
        <w:rPr>
          <w:color w:val="C00000"/>
          <w:szCs w:val="24"/>
          <w:u w:val="single"/>
        </w:rPr>
        <w:t>C&amp;E News</w:t>
      </w:r>
      <w:r w:rsidR="00483671" w:rsidRPr="00DC4ED3">
        <w:rPr>
          <w:color w:val="C00000"/>
          <w:szCs w:val="24"/>
        </w:rPr>
        <w:t xml:space="preserve">, February 21, 2000, p 26. </w:t>
      </w:r>
    </w:p>
    <w:p w:rsidR="00E70055" w:rsidRPr="008D165B" w:rsidRDefault="00483671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[DOI:10.1021/cen-v078n008.p026]</w:t>
      </w:r>
    </w:p>
    <w:p w:rsidR="00E70055" w:rsidRPr="008D165B" w:rsidRDefault="00E70055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 xml:space="preserve">Martinez, </w:t>
      </w:r>
      <w:r w:rsidRPr="008D165B">
        <w:rPr>
          <w:i/>
          <w:color w:val="000000" w:themeColor="text1"/>
          <w:szCs w:val="24"/>
        </w:rPr>
        <w:t>et al</w:t>
      </w:r>
      <w:r w:rsidRPr="008D165B">
        <w:rPr>
          <w:color w:val="000000" w:themeColor="text1"/>
          <w:szCs w:val="24"/>
        </w:rPr>
        <w:t xml:space="preserve">., "Self-Assembling </w:t>
      </w:r>
      <w:proofErr w:type="spellStart"/>
      <w:r w:rsidRPr="008D165B">
        <w:rPr>
          <w:color w:val="000000" w:themeColor="text1"/>
          <w:szCs w:val="24"/>
        </w:rPr>
        <w:t>Amphiphilic</w:t>
      </w:r>
      <w:proofErr w:type="spellEnd"/>
      <w:r w:rsidRPr="008D165B">
        <w:rPr>
          <w:color w:val="000000" w:themeColor="text1"/>
          <w:szCs w:val="24"/>
        </w:rPr>
        <w:t xml:space="preserve"> </w:t>
      </w:r>
      <w:proofErr w:type="spellStart"/>
      <w:r w:rsidRPr="008D165B">
        <w:rPr>
          <w:color w:val="000000" w:themeColor="text1"/>
          <w:szCs w:val="24"/>
        </w:rPr>
        <w:t>Siderophores</w:t>
      </w:r>
      <w:proofErr w:type="spellEnd"/>
      <w:r w:rsidRPr="008D165B">
        <w:rPr>
          <w:color w:val="000000" w:themeColor="text1"/>
          <w:szCs w:val="24"/>
        </w:rPr>
        <w:t xml:space="preserve"> from Marine Bacteria," </w:t>
      </w:r>
      <w:r w:rsidRPr="008D165B">
        <w:rPr>
          <w:color w:val="000000" w:themeColor="text1"/>
          <w:szCs w:val="24"/>
          <w:u w:val="single"/>
        </w:rPr>
        <w:t>Science</w:t>
      </w:r>
      <w:r w:rsidRPr="008D165B">
        <w:rPr>
          <w:color w:val="000000" w:themeColor="text1"/>
          <w:szCs w:val="24"/>
        </w:rPr>
        <w:t>, 287, 1245-1247 (2000)</w:t>
      </w:r>
      <w:r w:rsidR="006C1F72" w:rsidRPr="008D165B">
        <w:rPr>
          <w:color w:val="000000" w:themeColor="text1"/>
          <w:szCs w:val="24"/>
        </w:rPr>
        <w:t>.</w:t>
      </w:r>
    </w:p>
    <w:p w:rsidR="00E70055" w:rsidRPr="008D165B" w:rsidRDefault="006C1F72" w:rsidP="00131958">
      <w:pPr>
        <w:ind w:left="360"/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[DOI:10.1126/science.287.5456.1245]</w:t>
      </w:r>
    </w:p>
    <w:p w:rsidR="00E70055" w:rsidRPr="00DC4ED3" w:rsidRDefault="00E70055" w:rsidP="00DC4ED3">
      <w:pPr>
        <w:ind w:left="720"/>
        <w:rPr>
          <w:szCs w:val="24"/>
        </w:rPr>
      </w:pPr>
    </w:p>
    <w:p w:rsidR="00483671" w:rsidRPr="00DC4ED3" w:rsidRDefault="005A3EC3" w:rsidP="00DC4ED3">
      <w:pPr>
        <w:rPr>
          <w:color w:val="C00000"/>
          <w:szCs w:val="24"/>
        </w:rPr>
      </w:pPr>
      <w:r w:rsidRPr="00DC4ED3">
        <w:rPr>
          <w:color w:val="C00000"/>
          <w:szCs w:val="24"/>
        </w:rPr>
        <w:t xml:space="preserve">“A Mechanism Essential to Life,” </w:t>
      </w:r>
      <w:r w:rsidRPr="00DC4ED3">
        <w:rPr>
          <w:color w:val="C00000"/>
          <w:szCs w:val="24"/>
          <w:u w:val="single"/>
        </w:rPr>
        <w:t>C&amp;E News</w:t>
      </w:r>
      <w:r w:rsidRPr="00DC4ED3">
        <w:rPr>
          <w:color w:val="C00000"/>
          <w:szCs w:val="24"/>
        </w:rPr>
        <w:t>, December 6, 1999, p</w:t>
      </w:r>
      <w:r w:rsidR="00483671" w:rsidRPr="00DC4ED3">
        <w:rPr>
          <w:color w:val="C00000"/>
          <w:szCs w:val="24"/>
        </w:rPr>
        <w:t xml:space="preserve"> </w:t>
      </w:r>
      <w:r w:rsidRPr="00DC4ED3">
        <w:rPr>
          <w:color w:val="C00000"/>
          <w:szCs w:val="24"/>
        </w:rPr>
        <w:t>31-36.</w:t>
      </w:r>
      <w:r w:rsidR="00483671" w:rsidRPr="00DC4ED3">
        <w:rPr>
          <w:color w:val="C00000"/>
          <w:szCs w:val="24"/>
        </w:rPr>
        <w:t xml:space="preserve"> </w:t>
      </w:r>
    </w:p>
    <w:p w:rsidR="005A3EC3" w:rsidRPr="008D165B" w:rsidRDefault="00483671" w:rsidP="00DC4ED3">
      <w:pPr>
        <w:rPr>
          <w:color w:val="000000" w:themeColor="text1"/>
          <w:szCs w:val="24"/>
        </w:rPr>
      </w:pPr>
      <w:r w:rsidRPr="008D165B">
        <w:rPr>
          <w:color w:val="000000" w:themeColor="text1"/>
          <w:szCs w:val="24"/>
        </w:rPr>
        <w:t>[DOI:10.1021/cen-v077n049.p031]</w:t>
      </w:r>
    </w:p>
    <w:p w:rsidR="005A3EC3" w:rsidRPr="00DC4ED3" w:rsidRDefault="005A3EC3" w:rsidP="00DC4ED3">
      <w:pPr>
        <w:rPr>
          <w:szCs w:val="24"/>
        </w:rPr>
      </w:pPr>
    </w:p>
    <w:p w:rsidR="00BE1E7A" w:rsidRPr="00DC4ED3" w:rsidRDefault="00BE1E7A" w:rsidP="00DC4ED3">
      <w:pPr>
        <w:rPr>
          <w:szCs w:val="24"/>
        </w:rPr>
      </w:pPr>
    </w:p>
    <w:p w:rsidR="00BE1E7A" w:rsidRPr="00DC4ED3" w:rsidRDefault="00BE1E7A" w:rsidP="00DC4ED3">
      <w:pPr>
        <w:rPr>
          <w:szCs w:val="24"/>
        </w:rPr>
      </w:pPr>
    </w:p>
    <w:sectPr w:rsidR="00BE1E7A" w:rsidRPr="00DC4E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BA" w:rsidRDefault="007B12BA" w:rsidP="00434ED4">
      <w:r>
        <w:separator/>
      </w:r>
    </w:p>
  </w:endnote>
  <w:endnote w:type="continuationSeparator" w:id="0">
    <w:p w:rsidR="007B12BA" w:rsidRDefault="007B12BA" w:rsidP="004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BA" w:rsidRDefault="007B12BA" w:rsidP="00434ED4">
      <w:r>
        <w:separator/>
      </w:r>
    </w:p>
  </w:footnote>
  <w:footnote w:type="continuationSeparator" w:id="0">
    <w:p w:rsidR="007B12BA" w:rsidRDefault="007B12BA" w:rsidP="0043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4" w:rsidRDefault="00434ED4" w:rsidP="00434ED4">
    <w:pPr>
      <w:jc w:val="both"/>
    </w:pPr>
    <w:r w:rsidRPr="00512020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Christopher T. Bailey</w:t>
    </w:r>
    <w:r w:rsidRPr="00512020"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t>Wells</w:t>
    </w:r>
    <w:r w:rsidRPr="00512020">
      <w:rPr>
        <w:rFonts w:ascii="Arial" w:hAnsi="Arial"/>
        <w:sz w:val="20"/>
      </w:rPr>
      <w:t xml:space="preserve"> College (</w:t>
    </w:r>
    <w:r>
      <w:rPr>
        <w:rFonts w:ascii="Arial" w:hAnsi="Arial"/>
        <w:sz w:val="20"/>
      </w:rPr>
      <w:t>cbailey@wells</w:t>
    </w:r>
    <w:r w:rsidRPr="003978BD">
      <w:rPr>
        <w:rFonts w:ascii="Arial" w:hAnsi="Arial"/>
        <w:sz w:val="20"/>
      </w:rPr>
      <w:t>.edu</w:t>
    </w:r>
    <w:r w:rsidRPr="00512020">
      <w:rPr>
        <w:rFonts w:ascii="Arial" w:hAnsi="Arial"/>
        <w:sz w:val="20"/>
      </w:rPr>
      <w:t xml:space="preserve">) and posted on </w:t>
    </w:r>
    <w:proofErr w:type="spellStart"/>
    <w:r w:rsidRPr="00512020">
      <w:rPr>
        <w:rFonts w:ascii="Arial" w:hAnsi="Arial"/>
        <w:sz w:val="20"/>
      </w:rPr>
      <w:t>VIPEr</w:t>
    </w:r>
    <w:proofErr w:type="spellEnd"/>
    <w:r w:rsidRPr="00512020">
      <w:rPr>
        <w:rFonts w:ascii="Arial" w:hAnsi="Arial"/>
        <w:sz w:val="20"/>
      </w:rPr>
      <w:t xml:space="preserve"> (</w:t>
    </w:r>
    <w:hyperlink r:id="rId1" w:history="1">
      <w:r w:rsidRPr="00373B61">
        <w:rPr>
          <w:rStyle w:val="Hyperlink"/>
          <w:rFonts w:ascii="Arial" w:hAnsi="Arial"/>
          <w:sz w:val="20"/>
        </w:rPr>
        <w:t>www.ionicviper.org</w:t>
      </w:r>
    </w:hyperlink>
    <w:r w:rsidRPr="00512020">
      <w:rPr>
        <w:rFonts w:ascii="Arial" w:hAnsi="Arial"/>
        <w:sz w:val="20"/>
      </w:rPr>
      <w:t xml:space="preserve">) on </w:t>
    </w:r>
    <w:r w:rsidRPr="00E33A1E">
      <w:rPr>
        <w:rFonts w:ascii="Arial" w:hAnsi="Arial"/>
        <w:color w:val="000000" w:themeColor="text1"/>
        <w:sz w:val="20"/>
      </w:rPr>
      <w:t xml:space="preserve">July </w:t>
    </w:r>
    <w:r w:rsidR="00EF4275">
      <w:rPr>
        <w:rFonts w:ascii="Arial" w:hAnsi="Arial"/>
        <w:color w:val="000000" w:themeColor="text1"/>
        <w:sz w:val="20"/>
      </w:rPr>
      <w:t>28</w:t>
    </w:r>
    <w:r>
      <w:rPr>
        <w:rFonts w:ascii="Arial" w:hAnsi="Arial"/>
        <w:color w:val="000000" w:themeColor="text1"/>
        <w:sz w:val="20"/>
      </w:rPr>
      <w:t>,</w:t>
    </w:r>
    <w:r w:rsidRPr="00E33A1E">
      <w:rPr>
        <w:rFonts w:ascii="Arial" w:hAnsi="Arial"/>
        <w:color w:val="000000" w:themeColor="text1"/>
        <w:sz w:val="20"/>
      </w:rPr>
      <w:t xml:space="preserve"> 2014</w:t>
    </w:r>
    <w:r w:rsidRPr="00512020">
      <w:rPr>
        <w:rFonts w:ascii="Arial" w:hAnsi="Arial"/>
        <w:sz w:val="20"/>
      </w:rPr>
      <w:t>.  Copyr</w:t>
    </w:r>
    <w:r>
      <w:rPr>
        <w:rFonts w:ascii="Arial" w:hAnsi="Arial"/>
        <w:sz w:val="20"/>
      </w:rPr>
      <w:t>ight Christopher T. Bailey, 2014</w:t>
    </w:r>
    <w:r w:rsidRPr="00512020">
      <w:rPr>
        <w:rFonts w:ascii="Arial" w:hAnsi="Arial"/>
        <w:sz w:val="20"/>
      </w:rPr>
      <w:t xml:space="preserve">.  </w:t>
    </w:r>
    <w:r w:rsidRPr="00273ADB">
      <w:rPr>
        <w:rFonts w:ascii="Arial" w:hAnsi="Arial"/>
        <w:sz w:val="20"/>
      </w:rPr>
      <w:t xml:space="preserve">This work is licensed under the Creative </w:t>
    </w:r>
    <w:r w:rsidRPr="00F0057C">
      <w:rPr>
        <w:rFonts w:ascii="Arial" w:hAnsi="Arial" w:cs="Arial"/>
        <w:sz w:val="20"/>
      </w:rPr>
      <w:t>Commons Attribution-</w:t>
    </w:r>
    <w:proofErr w:type="spellStart"/>
    <w:r w:rsidRPr="00F0057C">
      <w:rPr>
        <w:rFonts w:ascii="Arial" w:hAnsi="Arial" w:cs="Arial"/>
        <w:sz w:val="20"/>
      </w:rPr>
      <w:t>NonCommerical</w:t>
    </w:r>
    <w:proofErr w:type="spellEnd"/>
    <w:r w:rsidRPr="00F0057C">
      <w:rPr>
        <w:rFonts w:ascii="Arial" w:hAnsi="Arial" w:cs="Arial"/>
        <w:sz w:val="20"/>
      </w:rPr>
      <w:t>-</w:t>
    </w:r>
    <w:proofErr w:type="spellStart"/>
    <w:r w:rsidRPr="00F0057C">
      <w:rPr>
        <w:rFonts w:ascii="Arial" w:hAnsi="Arial" w:cs="Arial"/>
        <w:sz w:val="20"/>
      </w:rPr>
      <w:t>ShareAlike</w:t>
    </w:r>
    <w:proofErr w:type="spellEnd"/>
    <w:r w:rsidRPr="00F0057C">
      <w:rPr>
        <w:rFonts w:ascii="Arial" w:hAnsi="Arial" w:cs="Arial"/>
        <w:sz w:val="20"/>
      </w:rPr>
      <w:t xml:space="preserve"> 3.0 </w:t>
    </w:r>
    <w:proofErr w:type="spellStart"/>
    <w:r w:rsidRPr="00F0057C">
      <w:rPr>
        <w:rFonts w:ascii="Arial" w:hAnsi="Arial" w:cs="Arial"/>
        <w:sz w:val="20"/>
      </w:rPr>
      <w:t>Unported</w:t>
    </w:r>
    <w:proofErr w:type="spellEnd"/>
    <w:r>
      <w:t xml:space="preserve"> </w:t>
    </w:r>
    <w:r w:rsidRPr="00273ADB">
      <w:rPr>
        <w:rFonts w:ascii="Arial" w:hAnsi="Arial"/>
        <w:sz w:val="20"/>
      </w:rPr>
      <w:t xml:space="preserve">License. To view a copy of this license visit </w:t>
    </w:r>
    <w:hyperlink r:id="rId2" w:history="1">
      <w:r w:rsidRPr="00273ADB">
        <w:rPr>
          <w:rStyle w:val="Hyperlink"/>
          <w:rFonts w:ascii="Arial" w:hAnsi="Arial"/>
          <w:sz w:val="20"/>
        </w:rPr>
        <w:t>http://creativecommons.org/about/license/</w:t>
      </w:r>
    </w:hyperlink>
    <w:r w:rsidRPr="00273ADB">
      <w:rPr>
        <w:rFonts w:ascii="Arial" w:hAnsi="Arial"/>
        <w:sz w:val="20"/>
      </w:rPr>
      <w:t>.</w:t>
    </w:r>
  </w:p>
  <w:p w:rsidR="00434ED4" w:rsidRDefault="00434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85D68"/>
    <w:multiLevelType w:val="multilevel"/>
    <w:tmpl w:val="706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55"/>
    <w:rsid w:val="000376E4"/>
    <w:rsid w:val="00131958"/>
    <w:rsid w:val="0015423B"/>
    <w:rsid w:val="00220484"/>
    <w:rsid w:val="002F2B3B"/>
    <w:rsid w:val="00325261"/>
    <w:rsid w:val="0032766F"/>
    <w:rsid w:val="003571FC"/>
    <w:rsid w:val="003A0C33"/>
    <w:rsid w:val="003D50C1"/>
    <w:rsid w:val="003E40E9"/>
    <w:rsid w:val="00434ED4"/>
    <w:rsid w:val="00483671"/>
    <w:rsid w:val="005A3EC3"/>
    <w:rsid w:val="005E3D4B"/>
    <w:rsid w:val="006A51AE"/>
    <w:rsid w:val="006C1F72"/>
    <w:rsid w:val="0071731C"/>
    <w:rsid w:val="0076568B"/>
    <w:rsid w:val="007B12BA"/>
    <w:rsid w:val="007B393F"/>
    <w:rsid w:val="008D165B"/>
    <w:rsid w:val="008E52DA"/>
    <w:rsid w:val="00954164"/>
    <w:rsid w:val="00AE6FA7"/>
    <w:rsid w:val="00B85F56"/>
    <w:rsid w:val="00BB3132"/>
    <w:rsid w:val="00BB3EB6"/>
    <w:rsid w:val="00BE1E7A"/>
    <w:rsid w:val="00C57281"/>
    <w:rsid w:val="00C74BF0"/>
    <w:rsid w:val="00D71E0C"/>
    <w:rsid w:val="00DC4ED3"/>
    <w:rsid w:val="00E70055"/>
    <w:rsid w:val="00EB7394"/>
    <w:rsid w:val="00EF4275"/>
    <w:rsid w:val="00F34B38"/>
    <w:rsid w:val="00F71820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7B6B3-FAC0-40EE-A42F-36F145B4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55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8E52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E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E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34E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9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2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5E3D4B"/>
    <w:rPr>
      <w:i/>
      <w:iCs/>
    </w:rPr>
  </w:style>
  <w:style w:type="character" w:customStyle="1" w:styleId="slug-doi">
    <w:name w:val="slug-doi"/>
    <w:basedOn w:val="DefaultParagraphFont"/>
    <w:rsid w:val="005E3D4B"/>
  </w:style>
  <w:style w:type="character" w:customStyle="1" w:styleId="doi">
    <w:name w:val="doi"/>
    <w:basedOn w:val="DefaultParagraphFont"/>
    <w:rsid w:val="003E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T. Bailey</dc:creator>
  <cp:keywords/>
  <dc:description/>
  <cp:lastModifiedBy>Christopher T. Bailey</cp:lastModifiedBy>
  <cp:revision>9</cp:revision>
  <cp:lastPrinted>2014-07-27T19:00:00Z</cp:lastPrinted>
  <dcterms:created xsi:type="dcterms:W3CDTF">2014-07-26T23:29:00Z</dcterms:created>
  <dcterms:modified xsi:type="dcterms:W3CDTF">2014-10-15T15:53:00Z</dcterms:modified>
</cp:coreProperties>
</file>