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E12" w:rsidRPr="00057678" w:rsidRDefault="00057678" w:rsidP="00057678">
      <w:pPr>
        <w:spacing w:line="240" w:lineRule="auto"/>
        <w:jc w:val="center"/>
        <w:rPr>
          <w:sz w:val="36"/>
          <w:szCs w:val="36"/>
        </w:rPr>
      </w:pPr>
      <w:r w:rsidRPr="00057678">
        <w:rPr>
          <w:sz w:val="36"/>
          <w:szCs w:val="36"/>
        </w:rPr>
        <w:t>Chemical Kinetics – Rate Laws</w:t>
      </w:r>
    </w:p>
    <w:p w:rsidR="00057678" w:rsidRPr="00057678" w:rsidRDefault="00057678" w:rsidP="00057678">
      <w:pPr>
        <w:spacing w:line="240" w:lineRule="auto"/>
        <w:jc w:val="center"/>
        <w:rPr>
          <w:sz w:val="36"/>
          <w:szCs w:val="36"/>
        </w:rPr>
      </w:pPr>
      <w:r w:rsidRPr="00057678">
        <w:rPr>
          <w:sz w:val="36"/>
          <w:szCs w:val="36"/>
        </w:rPr>
        <w:t>Errors Checklist</w:t>
      </w:r>
    </w:p>
    <w:p w:rsidR="00057678" w:rsidRDefault="00057678" w:rsidP="00057678">
      <w:pPr>
        <w:spacing w:line="240" w:lineRule="auto"/>
      </w:pPr>
      <w:r>
        <w:t>In the Data, you did not:</w:t>
      </w:r>
    </w:p>
    <w:tbl>
      <w:tblPr>
        <w:tblStyle w:val="TableGrid"/>
        <w:tblW w:w="0" w:type="auto"/>
        <w:tblLook w:val="04A0" w:firstRow="1" w:lastRow="0" w:firstColumn="1" w:lastColumn="0" w:noHBand="0" w:noVBand="1"/>
      </w:tblPr>
      <w:tblGrid>
        <w:gridCol w:w="1008"/>
        <w:gridCol w:w="8568"/>
      </w:tblGrid>
      <w:tr w:rsidR="00057678" w:rsidRPr="00057678" w:rsidTr="00057678">
        <w:tc>
          <w:tcPr>
            <w:tcW w:w="1008" w:type="dxa"/>
            <w:vAlign w:val="center"/>
          </w:tcPr>
          <w:p w:rsidR="00057678" w:rsidRPr="00057678" w:rsidRDefault="00057678" w:rsidP="00057678">
            <w:pPr>
              <w:spacing w:line="480" w:lineRule="auto"/>
            </w:pPr>
          </w:p>
        </w:tc>
        <w:tc>
          <w:tcPr>
            <w:tcW w:w="8568" w:type="dxa"/>
            <w:vAlign w:val="center"/>
          </w:tcPr>
          <w:p w:rsidR="00057678" w:rsidRPr="00057678" w:rsidRDefault="00057678" w:rsidP="00057678">
            <w:r w:rsidRPr="00057678">
              <w:t>Report all recorded times as seconds</w:t>
            </w:r>
          </w:p>
        </w:tc>
      </w:tr>
      <w:tr w:rsidR="00057678" w:rsidRPr="00057678" w:rsidTr="00057678">
        <w:tc>
          <w:tcPr>
            <w:tcW w:w="1008" w:type="dxa"/>
            <w:vAlign w:val="center"/>
          </w:tcPr>
          <w:p w:rsidR="00057678" w:rsidRPr="00057678" w:rsidRDefault="00057678" w:rsidP="00057678">
            <w:pPr>
              <w:spacing w:line="480" w:lineRule="auto"/>
            </w:pPr>
          </w:p>
        </w:tc>
        <w:tc>
          <w:tcPr>
            <w:tcW w:w="8568" w:type="dxa"/>
            <w:vAlign w:val="center"/>
          </w:tcPr>
          <w:p w:rsidR="00057678" w:rsidRPr="00057678" w:rsidRDefault="00057678" w:rsidP="00057678">
            <w:r>
              <w:t xml:space="preserve">Pay attention to significant figures (S.F.) in the reporting of </w:t>
            </w:r>
            <w:proofErr w:type="gramStart"/>
            <w:r>
              <w:t>Log(</w:t>
            </w:r>
            <w:proofErr w:type="gramEnd"/>
            <w:r>
              <w:t>mL reactant) and Log(time). The rule for S.F. in logs is: carry the # of S.F. in the value as the # of S.D. in the logarithm</w:t>
            </w:r>
          </w:p>
        </w:tc>
      </w:tr>
      <w:tr w:rsidR="00057678" w:rsidRPr="00057678" w:rsidTr="00057678">
        <w:tc>
          <w:tcPr>
            <w:tcW w:w="1008" w:type="dxa"/>
            <w:vAlign w:val="center"/>
          </w:tcPr>
          <w:p w:rsidR="00057678" w:rsidRPr="00057678" w:rsidRDefault="00057678" w:rsidP="00057678">
            <w:pPr>
              <w:spacing w:line="480" w:lineRule="auto"/>
            </w:pPr>
          </w:p>
        </w:tc>
        <w:tc>
          <w:tcPr>
            <w:tcW w:w="8568" w:type="dxa"/>
            <w:vAlign w:val="center"/>
          </w:tcPr>
          <w:p w:rsidR="00057678" w:rsidRDefault="00057678" w:rsidP="00057678">
            <w:r>
              <w:t>Calculate the rate constant correctly</w:t>
            </w:r>
            <w:r w:rsidR="00DC453D">
              <w:t xml:space="preserve"> (Rate of I</w:t>
            </w:r>
            <w:r w:rsidR="00DC453D" w:rsidRPr="00DC453D">
              <w:rPr>
                <w:vertAlign w:val="subscript"/>
              </w:rPr>
              <w:t>2</w:t>
            </w:r>
            <w:r w:rsidR="00DC453D">
              <w:t xml:space="preserve"> formation is 5x10</w:t>
            </w:r>
            <w:r w:rsidR="00DC453D" w:rsidRPr="00DC453D">
              <w:rPr>
                <w:vertAlign w:val="superscript"/>
              </w:rPr>
              <w:t>-4</w:t>
            </w:r>
            <w:r w:rsidR="00DC453D">
              <w:t>M/time in seconds)</w:t>
            </w:r>
          </w:p>
        </w:tc>
      </w:tr>
      <w:tr w:rsidR="00057678" w:rsidRPr="00057678" w:rsidTr="00057678">
        <w:tc>
          <w:tcPr>
            <w:tcW w:w="1008" w:type="dxa"/>
            <w:vAlign w:val="center"/>
          </w:tcPr>
          <w:p w:rsidR="00057678" w:rsidRPr="00057678" w:rsidRDefault="00057678" w:rsidP="00057678">
            <w:pPr>
              <w:spacing w:line="480" w:lineRule="auto"/>
            </w:pPr>
          </w:p>
        </w:tc>
        <w:tc>
          <w:tcPr>
            <w:tcW w:w="8568" w:type="dxa"/>
            <w:vAlign w:val="center"/>
          </w:tcPr>
          <w:p w:rsidR="00057678" w:rsidRDefault="00057678" w:rsidP="00057678">
            <w:r>
              <w:t>Write correct/any units for the rate constant</w:t>
            </w:r>
          </w:p>
        </w:tc>
      </w:tr>
      <w:tr w:rsidR="00057678" w:rsidRPr="00057678" w:rsidTr="00057678">
        <w:tc>
          <w:tcPr>
            <w:tcW w:w="1008" w:type="dxa"/>
            <w:vAlign w:val="center"/>
          </w:tcPr>
          <w:p w:rsidR="00057678" w:rsidRPr="00057678" w:rsidRDefault="00057678" w:rsidP="00057678">
            <w:pPr>
              <w:spacing w:line="480" w:lineRule="auto"/>
            </w:pPr>
          </w:p>
        </w:tc>
        <w:tc>
          <w:tcPr>
            <w:tcW w:w="8568" w:type="dxa"/>
            <w:vAlign w:val="center"/>
          </w:tcPr>
          <w:p w:rsidR="00057678" w:rsidRDefault="00057678" w:rsidP="00057678">
            <w:r>
              <w:t>Round the orders WRT iodide and peroxide to whole numbers</w:t>
            </w:r>
          </w:p>
        </w:tc>
      </w:tr>
    </w:tbl>
    <w:p w:rsidR="00057678" w:rsidRDefault="00057678" w:rsidP="00057678">
      <w:pPr>
        <w:spacing w:line="240" w:lineRule="auto"/>
      </w:pPr>
    </w:p>
    <w:p w:rsidR="00057678" w:rsidRDefault="00057678" w:rsidP="00057678">
      <w:pPr>
        <w:spacing w:line="240" w:lineRule="auto"/>
      </w:pPr>
      <w:r>
        <w:t>On the Graphs, you did not:</w:t>
      </w:r>
    </w:p>
    <w:tbl>
      <w:tblPr>
        <w:tblStyle w:val="TableGrid"/>
        <w:tblW w:w="0" w:type="auto"/>
        <w:tblLook w:val="04A0" w:firstRow="1" w:lastRow="0" w:firstColumn="1" w:lastColumn="0" w:noHBand="0" w:noVBand="1"/>
      </w:tblPr>
      <w:tblGrid>
        <w:gridCol w:w="1008"/>
        <w:gridCol w:w="8568"/>
      </w:tblGrid>
      <w:tr w:rsidR="00057678" w:rsidRPr="00057678" w:rsidTr="007A0B56">
        <w:tc>
          <w:tcPr>
            <w:tcW w:w="1008" w:type="dxa"/>
            <w:vAlign w:val="center"/>
          </w:tcPr>
          <w:p w:rsidR="00057678" w:rsidRPr="00057678" w:rsidRDefault="00057678" w:rsidP="007A0B56">
            <w:pPr>
              <w:spacing w:line="480" w:lineRule="auto"/>
            </w:pPr>
          </w:p>
        </w:tc>
        <w:tc>
          <w:tcPr>
            <w:tcW w:w="8568" w:type="dxa"/>
            <w:vAlign w:val="center"/>
          </w:tcPr>
          <w:p w:rsidR="00057678" w:rsidRPr="00057678" w:rsidRDefault="00057678" w:rsidP="007A0B56">
            <w:r>
              <w:t>Use the WHOLE graphing area for each plot. Do NOT let Excel squish your data into one corner of the area. Adjust X and Y axes so that your data points are spread out.</w:t>
            </w:r>
            <w:r w:rsidR="00085C7F">
              <w:t xml:space="preserve"> X and Y axes do NOT have to start at zero.</w:t>
            </w:r>
            <w:bookmarkStart w:id="0" w:name="_GoBack"/>
            <w:bookmarkEnd w:id="0"/>
          </w:p>
        </w:tc>
      </w:tr>
      <w:tr w:rsidR="00057678" w:rsidRPr="00057678" w:rsidTr="007A0B56">
        <w:tc>
          <w:tcPr>
            <w:tcW w:w="1008" w:type="dxa"/>
            <w:vAlign w:val="center"/>
          </w:tcPr>
          <w:p w:rsidR="00057678" w:rsidRPr="00057678" w:rsidRDefault="00057678" w:rsidP="007A0B56">
            <w:pPr>
              <w:spacing w:line="480" w:lineRule="auto"/>
            </w:pPr>
          </w:p>
        </w:tc>
        <w:tc>
          <w:tcPr>
            <w:tcW w:w="8568" w:type="dxa"/>
            <w:vAlign w:val="center"/>
          </w:tcPr>
          <w:p w:rsidR="00057678" w:rsidRPr="00057678" w:rsidRDefault="00057678" w:rsidP="007A0B56">
            <w:r>
              <w:t>Include best-fit line with equation and/or goodness of fit (R</w:t>
            </w:r>
            <w:r w:rsidRPr="00057678">
              <w:rPr>
                <w:vertAlign w:val="superscript"/>
              </w:rPr>
              <w:t>2</w:t>
            </w:r>
            <w:r>
              <w:t>)</w:t>
            </w:r>
          </w:p>
        </w:tc>
      </w:tr>
      <w:tr w:rsidR="00057678" w:rsidRPr="00057678" w:rsidTr="007A0B56">
        <w:tc>
          <w:tcPr>
            <w:tcW w:w="1008" w:type="dxa"/>
            <w:vAlign w:val="center"/>
          </w:tcPr>
          <w:p w:rsidR="00057678" w:rsidRPr="00057678" w:rsidRDefault="00057678" w:rsidP="007A0B56">
            <w:pPr>
              <w:spacing w:line="480" w:lineRule="auto"/>
            </w:pPr>
          </w:p>
        </w:tc>
        <w:tc>
          <w:tcPr>
            <w:tcW w:w="8568" w:type="dxa"/>
            <w:vAlign w:val="center"/>
          </w:tcPr>
          <w:p w:rsidR="00057678" w:rsidRDefault="00057678" w:rsidP="007A0B56">
            <w:r>
              <w:t>Label axes and/or title the graph</w:t>
            </w:r>
          </w:p>
        </w:tc>
      </w:tr>
      <w:tr w:rsidR="00057678" w:rsidRPr="00057678" w:rsidTr="007A0B56">
        <w:tc>
          <w:tcPr>
            <w:tcW w:w="1008" w:type="dxa"/>
            <w:vAlign w:val="center"/>
          </w:tcPr>
          <w:p w:rsidR="00057678" w:rsidRPr="00057678" w:rsidRDefault="00057678" w:rsidP="007A0B56">
            <w:pPr>
              <w:spacing w:line="480" w:lineRule="auto"/>
            </w:pPr>
          </w:p>
        </w:tc>
        <w:tc>
          <w:tcPr>
            <w:tcW w:w="8568" w:type="dxa"/>
            <w:vAlign w:val="center"/>
          </w:tcPr>
          <w:p w:rsidR="00057678" w:rsidRDefault="005207D1" w:rsidP="007A0B56">
            <w:r>
              <w:t xml:space="preserve">Exclude connect-the-dots lines </w:t>
            </w:r>
          </w:p>
        </w:tc>
      </w:tr>
      <w:tr w:rsidR="00057678" w:rsidRPr="00057678" w:rsidTr="007A0B56">
        <w:tc>
          <w:tcPr>
            <w:tcW w:w="1008" w:type="dxa"/>
            <w:vAlign w:val="center"/>
          </w:tcPr>
          <w:p w:rsidR="00057678" w:rsidRPr="00057678" w:rsidRDefault="00057678" w:rsidP="007A0B56">
            <w:pPr>
              <w:spacing w:line="480" w:lineRule="auto"/>
            </w:pPr>
          </w:p>
        </w:tc>
        <w:tc>
          <w:tcPr>
            <w:tcW w:w="8568" w:type="dxa"/>
            <w:vAlign w:val="center"/>
          </w:tcPr>
          <w:p w:rsidR="00057678" w:rsidRDefault="005207D1" w:rsidP="007A0B56">
            <w:r>
              <w:t>Exclude vertical and/or horizontal grid lines</w:t>
            </w:r>
          </w:p>
        </w:tc>
      </w:tr>
    </w:tbl>
    <w:p w:rsidR="00057678" w:rsidRDefault="00057678" w:rsidP="00057678">
      <w:pPr>
        <w:spacing w:line="240" w:lineRule="auto"/>
      </w:pPr>
    </w:p>
    <w:p w:rsidR="00057678" w:rsidRDefault="00057678" w:rsidP="00057678">
      <w:pPr>
        <w:spacing w:line="240" w:lineRule="auto"/>
      </w:pPr>
      <w:r>
        <w:t>In the Thought Questions, you did not:</w:t>
      </w:r>
    </w:p>
    <w:tbl>
      <w:tblPr>
        <w:tblStyle w:val="TableGrid"/>
        <w:tblW w:w="0" w:type="auto"/>
        <w:tblLook w:val="04A0" w:firstRow="1" w:lastRow="0" w:firstColumn="1" w:lastColumn="0" w:noHBand="0" w:noVBand="1"/>
      </w:tblPr>
      <w:tblGrid>
        <w:gridCol w:w="1008"/>
        <w:gridCol w:w="8568"/>
      </w:tblGrid>
      <w:tr w:rsidR="00DC453D" w:rsidRPr="00057678" w:rsidTr="007A0B56">
        <w:tc>
          <w:tcPr>
            <w:tcW w:w="1008" w:type="dxa"/>
            <w:vAlign w:val="center"/>
          </w:tcPr>
          <w:p w:rsidR="00DC453D" w:rsidRPr="00057678" w:rsidRDefault="00DC453D" w:rsidP="007A0B56">
            <w:pPr>
              <w:spacing w:line="480" w:lineRule="auto"/>
            </w:pPr>
          </w:p>
        </w:tc>
        <w:tc>
          <w:tcPr>
            <w:tcW w:w="8568" w:type="dxa"/>
            <w:vAlign w:val="center"/>
          </w:tcPr>
          <w:p w:rsidR="00DC453D" w:rsidRPr="00057678" w:rsidRDefault="00085C7F" w:rsidP="007A0B56">
            <w:r>
              <w:t>Conclude that an increase in [H</w:t>
            </w:r>
            <w:r w:rsidRPr="00085C7F">
              <w:rPr>
                <w:vertAlign w:val="subscript"/>
              </w:rPr>
              <w:t>2</w:t>
            </w:r>
            <w:r>
              <w:t>O</w:t>
            </w:r>
            <w:r w:rsidRPr="00085C7F">
              <w:rPr>
                <w:vertAlign w:val="subscript"/>
              </w:rPr>
              <w:t>2</w:t>
            </w:r>
            <w:r>
              <w:t>] will shorten observed time. The rate law shows a 1</w:t>
            </w:r>
            <w:r w:rsidRPr="00085C7F">
              <w:rPr>
                <w:vertAlign w:val="superscript"/>
              </w:rPr>
              <w:t>st</w:t>
            </w:r>
            <w:r>
              <w:t xml:space="preserve"> order dependence on [H</w:t>
            </w:r>
            <w:r w:rsidRPr="00085C7F">
              <w:rPr>
                <w:vertAlign w:val="subscript"/>
              </w:rPr>
              <w:t>2</w:t>
            </w:r>
            <w:r>
              <w:t>O</w:t>
            </w:r>
            <w:r w:rsidRPr="00085C7F">
              <w:rPr>
                <w:vertAlign w:val="subscript"/>
              </w:rPr>
              <w:t>2</w:t>
            </w:r>
            <w:r>
              <w:t>], so the rate will increase with increasing [H</w:t>
            </w:r>
            <w:r w:rsidRPr="00085C7F">
              <w:rPr>
                <w:vertAlign w:val="subscript"/>
              </w:rPr>
              <w:t>2</w:t>
            </w:r>
            <w:r>
              <w:t>O</w:t>
            </w:r>
            <w:r w:rsidRPr="00085C7F">
              <w:rPr>
                <w:vertAlign w:val="subscript"/>
              </w:rPr>
              <w:t>2</w:t>
            </w:r>
            <w:r>
              <w:t>], thus shortening observed time.</w:t>
            </w:r>
          </w:p>
        </w:tc>
      </w:tr>
      <w:tr w:rsidR="00DC453D" w:rsidRPr="00057678" w:rsidTr="007A0B56">
        <w:tc>
          <w:tcPr>
            <w:tcW w:w="1008" w:type="dxa"/>
            <w:vAlign w:val="center"/>
          </w:tcPr>
          <w:p w:rsidR="00DC453D" w:rsidRPr="00057678" w:rsidRDefault="00DC453D" w:rsidP="007A0B56">
            <w:pPr>
              <w:spacing w:line="480" w:lineRule="auto"/>
            </w:pPr>
          </w:p>
        </w:tc>
        <w:tc>
          <w:tcPr>
            <w:tcW w:w="8568" w:type="dxa"/>
            <w:vAlign w:val="center"/>
          </w:tcPr>
          <w:p w:rsidR="00DC453D" w:rsidRPr="00057678" w:rsidRDefault="00085C7F" w:rsidP="007A0B56">
            <w:r>
              <w:t>Conclude that an increase in [Na</w:t>
            </w:r>
            <w:r w:rsidRPr="00085C7F">
              <w:rPr>
                <w:vertAlign w:val="subscript"/>
              </w:rPr>
              <w:t>2</w:t>
            </w:r>
            <w:r>
              <w:t>S</w:t>
            </w:r>
            <w:r w:rsidRPr="00085C7F">
              <w:rPr>
                <w:vertAlign w:val="subscript"/>
              </w:rPr>
              <w:t>2</w:t>
            </w:r>
            <w:r>
              <w:t>O</w:t>
            </w:r>
            <w:r w:rsidRPr="00085C7F">
              <w:rPr>
                <w:vertAlign w:val="subscript"/>
              </w:rPr>
              <w:t>3</w:t>
            </w:r>
            <w:r>
              <w:t>] will increase observed time. With more thiosulfate, more iodine will be consumed before the thiosulfate is used up, thus delaying the time to the color change indicating presence of excess iodine.</w:t>
            </w:r>
          </w:p>
        </w:tc>
      </w:tr>
      <w:tr w:rsidR="00DC453D" w:rsidRPr="00057678" w:rsidTr="007A0B56">
        <w:tc>
          <w:tcPr>
            <w:tcW w:w="1008" w:type="dxa"/>
            <w:vAlign w:val="center"/>
          </w:tcPr>
          <w:p w:rsidR="00DC453D" w:rsidRPr="00057678" w:rsidRDefault="00DC453D" w:rsidP="007A0B56">
            <w:pPr>
              <w:spacing w:line="480" w:lineRule="auto"/>
            </w:pPr>
          </w:p>
        </w:tc>
        <w:tc>
          <w:tcPr>
            <w:tcW w:w="8568" w:type="dxa"/>
            <w:vAlign w:val="center"/>
          </w:tcPr>
          <w:p w:rsidR="00DC453D" w:rsidRDefault="00085C7F" w:rsidP="007A0B56">
            <w:r>
              <w:t>Conclude that an increase in starch would not affect observed time. Starch is used as an indicator of the presence of excess iodine. The exact amount is not critical; one only needs enough present to bind to iodine, and create the intense blue color.</w:t>
            </w:r>
          </w:p>
        </w:tc>
      </w:tr>
    </w:tbl>
    <w:p w:rsidR="00DC453D" w:rsidRDefault="00DC453D" w:rsidP="00057678">
      <w:pPr>
        <w:spacing w:line="240" w:lineRule="auto"/>
      </w:pPr>
    </w:p>
    <w:sectPr w:rsidR="00DC45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72B4" w:rsidRDefault="007572B4" w:rsidP="00057678">
      <w:pPr>
        <w:spacing w:after="0" w:line="240" w:lineRule="auto"/>
      </w:pPr>
      <w:r>
        <w:separator/>
      </w:r>
    </w:p>
  </w:endnote>
  <w:endnote w:type="continuationSeparator" w:id="0">
    <w:p w:rsidR="007572B4" w:rsidRDefault="007572B4" w:rsidP="000576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72B4" w:rsidRDefault="007572B4" w:rsidP="00057678">
      <w:pPr>
        <w:spacing w:after="0" w:line="240" w:lineRule="auto"/>
      </w:pPr>
      <w:r>
        <w:separator/>
      </w:r>
    </w:p>
  </w:footnote>
  <w:footnote w:type="continuationSeparator" w:id="0">
    <w:p w:rsidR="007572B4" w:rsidRDefault="007572B4" w:rsidP="000576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678" w:rsidRDefault="00057678">
    <w:pPr>
      <w:pStyle w:val="Header"/>
    </w:pPr>
    <w:r>
      <w:t>Name _____________________________________________________________________________</w:t>
    </w:r>
  </w:p>
  <w:p w:rsidR="00057678" w:rsidRDefault="0005767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78"/>
    <w:rsid w:val="00057678"/>
    <w:rsid w:val="00085C7F"/>
    <w:rsid w:val="00174B11"/>
    <w:rsid w:val="005207D1"/>
    <w:rsid w:val="0061575A"/>
    <w:rsid w:val="007572B4"/>
    <w:rsid w:val="00B570B1"/>
    <w:rsid w:val="00DC45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678"/>
  </w:style>
  <w:style w:type="paragraph" w:styleId="Footer">
    <w:name w:val="footer"/>
    <w:basedOn w:val="Normal"/>
    <w:link w:val="FooterChar"/>
    <w:uiPriority w:val="99"/>
    <w:unhideWhenUsed/>
    <w:rsid w:val="0005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678"/>
  </w:style>
  <w:style w:type="paragraph" w:styleId="BalloonText">
    <w:name w:val="Balloon Text"/>
    <w:basedOn w:val="Normal"/>
    <w:link w:val="BalloonTextChar"/>
    <w:uiPriority w:val="99"/>
    <w:semiHidden/>
    <w:unhideWhenUsed/>
    <w:rsid w:val="0005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8"/>
    <w:rPr>
      <w:rFonts w:ascii="Tahoma" w:hAnsi="Tahoma" w:cs="Tahoma"/>
      <w:sz w:val="16"/>
      <w:szCs w:val="16"/>
    </w:rPr>
  </w:style>
  <w:style w:type="paragraph" w:styleId="ListParagraph">
    <w:name w:val="List Paragraph"/>
    <w:basedOn w:val="Normal"/>
    <w:uiPriority w:val="34"/>
    <w:qFormat/>
    <w:rsid w:val="00057678"/>
    <w:pPr>
      <w:ind w:left="720"/>
      <w:contextualSpacing/>
    </w:pPr>
  </w:style>
  <w:style w:type="table" w:styleId="TableGrid">
    <w:name w:val="Table Grid"/>
    <w:basedOn w:val="TableNormal"/>
    <w:uiPriority w:val="59"/>
    <w:rsid w:val="00057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6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7678"/>
  </w:style>
  <w:style w:type="paragraph" w:styleId="Footer">
    <w:name w:val="footer"/>
    <w:basedOn w:val="Normal"/>
    <w:link w:val="FooterChar"/>
    <w:uiPriority w:val="99"/>
    <w:unhideWhenUsed/>
    <w:rsid w:val="000576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7678"/>
  </w:style>
  <w:style w:type="paragraph" w:styleId="BalloonText">
    <w:name w:val="Balloon Text"/>
    <w:basedOn w:val="Normal"/>
    <w:link w:val="BalloonTextChar"/>
    <w:uiPriority w:val="99"/>
    <w:semiHidden/>
    <w:unhideWhenUsed/>
    <w:rsid w:val="000576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678"/>
    <w:rPr>
      <w:rFonts w:ascii="Tahoma" w:hAnsi="Tahoma" w:cs="Tahoma"/>
      <w:sz w:val="16"/>
      <w:szCs w:val="16"/>
    </w:rPr>
  </w:style>
  <w:style w:type="paragraph" w:styleId="ListParagraph">
    <w:name w:val="List Paragraph"/>
    <w:basedOn w:val="Normal"/>
    <w:uiPriority w:val="34"/>
    <w:qFormat/>
    <w:rsid w:val="00057678"/>
    <w:pPr>
      <w:ind w:left="720"/>
      <w:contextualSpacing/>
    </w:pPr>
  </w:style>
  <w:style w:type="table" w:styleId="TableGrid">
    <w:name w:val="Table Grid"/>
    <w:basedOn w:val="TableNormal"/>
    <w:uiPriority w:val="59"/>
    <w:rsid w:val="000576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Sabrina G. Sobel</dc:creator>
  <cp:lastModifiedBy>Sabrina G. Sobel</cp:lastModifiedBy>
  <cp:revision>3</cp:revision>
  <dcterms:created xsi:type="dcterms:W3CDTF">2013-02-26T12:43:00Z</dcterms:created>
  <dcterms:modified xsi:type="dcterms:W3CDTF">2013-02-26T13:05:00Z</dcterms:modified>
</cp:coreProperties>
</file>