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546" w:rsidRDefault="00396546" w:rsidP="0002602A">
      <w:pPr>
        <w:contextualSpacing/>
      </w:pPr>
      <w:r>
        <w:t>Literature Discussion Learning Object:</w:t>
      </w:r>
    </w:p>
    <w:p w:rsidR="00396546" w:rsidRDefault="00396546" w:rsidP="0002602A">
      <w:pPr>
        <w:contextualSpacing/>
      </w:pPr>
    </w:p>
    <w:p w:rsidR="00396546" w:rsidRPr="0002602A" w:rsidRDefault="00396546" w:rsidP="0002602A">
      <w:pPr>
        <w:contextualSpacing/>
        <w:rPr>
          <w:b/>
        </w:rPr>
      </w:pPr>
      <w:r w:rsidRPr="0002602A">
        <w:rPr>
          <w:b/>
        </w:rPr>
        <w:t>Effects of Cyclopentadienyl and Phosphine Ligands on the Basicities and Nucleophilicities of Cp′Ir(CO)(PR</w:t>
      </w:r>
      <w:r w:rsidRPr="0002602A">
        <w:rPr>
          <w:b/>
          <w:vertAlign w:val="subscript"/>
        </w:rPr>
        <w:t>3</w:t>
      </w:r>
      <w:r w:rsidRPr="0002602A">
        <w:rPr>
          <w:b/>
        </w:rPr>
        <w:t>) Complexes</w:t>
      </w:r>
      <w:r>
        <w:rPr>
          <w:b/>
        </w:rPr>
        <w:t>.</w:t>
      </w:r>
    </w:p>
    <w:p w:rsidR="00396546" w:rsidRDefault="00396546" w:rsidP="0002602A">
      <w:pPr>
        <w:contextualSpacing/>
      </w:pPr>
      <w:r>
        <w:t xml:space="preserve">Wang, D.; Angelici, R. J. </w:t>
      </w:r>
      <w:r w:rsidRPr="0002602A">
        <w:rPr>
          <w:i/>
        </w:rPr>
        <w:t>Inorg. Chem.</w:t>
      </w:r>
      <w:r>
        <w:t xml:space="preserve"> </w:t>
      </w:r>
      <w:r>
        <w:rPr>
          <w:b/>
        </w:rPr>
        <w:t>1996</w:t>
      </w:r>
      <w:r>
        <w:t xml:space="preserve">, </w:t>
      </w:r>
      <w:r>
        <w:rPr>
          <w:i/>
        </w:rPr>
        <w:t>35</w:t>
      </w:r>
      <w:r>
        <w:t>, 1321-1331.</w:t>
      </w:r>
    </w:p>
    <w:p w:rsidR="00396546" w:rsidRPr="0002602A" w:rsidRDefault="00396546" w:rsidP="0002602A">
      <w:pPr>
        <w:contextualSpacing/>
        <w:rPr>
          <w:rFonts w:ascii="Times New Roman" w:hAnsi="Times New Roman"/>
          <w:szCs w:val="24"/>
        </w:rPr>
      </w:pPr>
      <w:r w:rsidRPr="0002602A">
        <w:rPr>
          <w:rStyle w:val="Strong"/>
          <w:rFonts w:ascii="Times New Roman" w:hAnsi="Times New Roman"/>
          <w:color w:val="000000"/>
          <w:szCs w:val="24"/>
          <w:shd w:val="clear" w:color="auto" w:fill="FFFFFF"/>
        </w:rPr>
        <w:t>DOI:</w:t>
      </w:r>
      <w:r w:rsidRPr="0002602A">
        <w:rPr>
          <w:rStyle w:val="apple-converted-space"/>
          <w:rFonts w:ascii="Times New Roman" w:hAnsi="Times New Roman"/>
          <w:color w:val="000000"/>
          <w:szCs w:val="24"/>
          <w:shd w:val="clear" w:color="auto" w:fill="FFFFFF"/>
        </w:rPr>
        <w:t> </w:t>
      </w:r>
      <w:r w:rsidRPr="0002602A">
        <w:rPr>
          <w:rFonts w:ascii="Times New Roman" w:hAnsi="Times New Roman"/>
          <w:color w:val="000000"/>
          <w:szCs w:val="24"/>
          <w:shd w:val="clear" w:color="auto" w:fill="FFFFFF"/>
        </w:rPr>
        <w:t>10.1021/ic951079p</w:t>
      </w:r>
    </w:p>
    <w:p w:rsidR="00396546" w:rsidRDefault="00396546" w:rsidP="007949A7"/>
    <w:p w:rsidR="00396546" w:rsidRDefault="00396546" w:rsidP="009153FC">
      <w:pPr>
        <w:pStyle w:val="ListParagraph"/>
        <w:numPr>
          <w:ilvl w:val="0"/>
          <w:numId w:val="2"/>
        </w:numPr>
      </w:pPr>
      <w:r>
        <w:t>Two reactions are shown on the first page of the paper. They are labeled (1) and (2) and referred to as eq 1 and eq 2 in the text. Determine the classification, valence number, ligand bond number, electron number and d</w:t>
      </w:r>
      <w:r>
        <w:rPr>
          <w:vertAlign w:val="superscript"/>
        </w:rPr>
        <w:t>n</w:t>
      </w:r>
      <w:r>
        <w:t xml:space="preserve"> count for the Ir containing reactants and products in these reactions.</w:t>
      </w:r>
    </w:p>
    <w:p w:rsidR="00396546" w:rsidRDefault="00396546" w:rsidP="006C0028">
      <w:pPr>
        <w:pStyle w:val="ListParagraph"/>
      </w:pPr>
    </w:p>
    <w:tbl>
      <w:tblPr>
        <w:tblW w:w="809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3"/>
        <w:gridCol w:w="1525"/>
        <w:gridCol w:w="2021"/>
        <w:gridCol w:w="2265"/>
      </w:tblGrid>
      <w:tr w:rsidR="00396546" w:rsidTr="006B0B41">
        <w:tc>
          <w:tcPr>
            <w:tcW w:w="2283" w:type="dxa"/>
          </w:tcPr>
          <w:p w:rsidR="00396546" w:rsidRPr="006B0B41" w:rsidRDefault="00396546" w:rsidP="006B0B41">
            <w:pPr>
              <w:pStyle w:val="ListParagraph"/>
              <w:ind w:left="0"/>
              <w:rPr>
                <w:sz w:val="20"/>
              </w:rPr>
            </w:pPr>
          </w:p>
        </w:tc>
        <w:tc>
          <w:tcPr>
            <w:tcW w:w="1525" w:type="dxa"/>
          </w:tcPr>
          <w:p w:rsidR="00396546" w:rsidRPr="006B0B41" w:rsidRDefault="00396546" w:rsidP="006B0B41">
            <w:pPr>
              <w:jc w:val="center"/>
              <w:rPr>
                <w:b/>
                <w:sz w:val="20"/>
                <w:vertAlign w:val="subscript"/>
              </w:rPr>
            </w:pPr>
            <w:r w:rsidRPr="006B0B41">
              <w:rPr>
                <w:b/>
                <w:sz w:val="20"/>
              </w:rPr>
              <w:t>Cp</w:t>
            </w:r>
            <w:r w:rsidRPr="006B0B41">
              <w:rPr>
                <w:rFonts w:ascii="Times New Roman" w:hAnsi="Times New Roman"/>
                <w:b/>
                <w:sz w:val="20"/>
              </w:rPr>
              <w:t>ʹ</w:t>
            </w:r>
            <w:r w:rsidRPr="006B0B41">
              <w:rPr>
                <w:b/>
                <w:sz w:val="20"/>
              </w:rPr>
              <w:t>Ir(CO)PR</w:t>
            </w:r>
            <w:r w:rsidRPr="006B0B41">
              <w:rPr>
                <w:b/>
                <w:sz w:val="20"/>
                <w:vertAlign w:val="subscript"/>
              </w:rPr>
              <w:t>3</w:t>
            </w:r>
          </w:p>
        </w:tc>
        <w:tc>
          <w:tcPr>
            <w:tcW w:w="2021" w:type="dxa"/>
          </w:tcPr>
          <w:p w:rsidR="00396546" w:rsidRPr="006B0B41" w:rsidRDefault="00396546" w:rsidP="006B0B41">
            <w:pPr>
              <w:pStyle w:val="ListParagraph"/>
              <w:ind w:left="0"/>
              <w:jc w:val="center"/>
              <w:rPr>
                <w:sz w:val="20"/>
                <w:vertAlign w:val="superscript"/>
              </w:rPr>
            </w:pPr>
            <w:r w:rsidRPr="006B0B41">
              <w:rPr>
                <w:b/>
                <w:sz w:val="20"/>
              </w:rPr>
              <w:t>[Cp</w:t>
            </w:r>
            <w:r w:rsidRPr="006B0B41">
              <w:rPr>
                <w:rFonts w:ascii="Times New Roman" w:hAnsi="Times New Roman"/>
                <w:b/>
                <w:sz w:val="20"/>
              </w:rPr>
              <w:t>ʹ</w:t>
            </w:r>
            <w:r w:rsidRPr="006B0B41">
              <w:rPr>
                <w:b/>
                <w:sz w:val="20"/>
              </w:rPr>
              <w:t>Ir(CO)(PR</w:t>
            </w:r>
            <w:r w:rsidRPr="006B0B41">
              <w:rPr>
                <w:b/>
                <w:sz w:val="20"/>
                <w:vertAlign w:val="subscript"/>
              </w:rPr>
              <w:t>3</w:t>
            </w:r>
            <w:r w:rsidRPr="006B0B41">
              <w:rPr>
                <w:b/>
                <w:sz w:val="20"/>
              </w:rPr>
              <w:t>)H]</w:t>
            </w:r>
            <w:r w:rsidRPr="006B0B41">
              <w:rPr>
                <w:b/>
                <w:sz w:val="20"/>
                <w:vertAlign w:val="superscript"/>
              </w:rPr>
              <w:t>+</w:t>
            </w:r>
          </w:p>
        </w:tc>
        <w:tc>
          <w:tcPr>
            <w:tcW w:w="2265" w:type="dxa"/>
          </w:tcPr>
          <w:p w:rsidR="00396546" w:rsidRPr="006B0B41" w:rsidRDefault="00396546" w:rsidP="006B0B41">
            <w:pPr>
              <w:pStyle w:val="ListParagraph"/>
              <w:ind w:left="0"/>
              <w:jc w:val="center"/>
              <w:rPr>
                <w:sz w:val="20"/>
              </w:rPr>
            </w:pPr>
            <w:r w:rsidRPr="006B0B41">
              <w:rPr>
                <w:b/>
                <w:sz w:val="20"/>
              </w:rPr>
              <w:t>[Cp</w:t>
            </w:r>
            <w:r w:rsidRPr="006B0B41">
              <w:rPr>
                <w:rFonts w:ascii="Times New Roman" w:hAnsi="Times New Roman"/>
                <w:b/>
                <w:sz w:val="20"/>
              </w:rPr>
              <w:t>ʹ</w:t>
            </w:r>
            <w:r w:rsidRPr="006B0B41">
              <w:rPr>
                <w:b/>
                <w:sz w:val="20"/>
              </w:rPr>
              <w:t>Ir(CO)(PR</w:t>
            </w:r>
            <w:r w:rsidRPr="006B0B41">
              <w:rPr>
                <w:b/>
                <w:sz w:val="20"/>
                <w:vertAlign w:val="subscript"/>
              </w:rPr>
              <w:t>3</w:t>
            </w:r>
            <w:r w:rsidRPr="006B0B41">
              <w:rPr>
                <w:b/>
                <w:sz w:val="20"/>
              </w:rPr>
              <w:t>)CH</w:t>
            </w:r>
            <w:r w:rsidRPr="006B0B41">
              <w:rPr>
                <w:b/>
                <w:sz w:val="20"/>
                <w:vertAlign w:val="subscript"/>
              </w:rPr>
              <w:t>3</w:t>
            </w:r>
            <w:r w:rsidRPr="006B0B41">
              <w:rPr>
                <w:b/>
                <w:sz w:val="20"/>
              </w:rPr>
              <w:t>]</w:t>
            </w:r>
            <w:r w:rsidRPr="006B0B41">
              <w:rPr>
                <w:b/>
                <w:sz w:val="20"/>
                <w:vertAlign w:val="superscript"/>
              </w:rPr>
              <w:t>+</w:t>
            </w:r>
          </w:p>
        </w:tc>
      </w:tr>
      <w:tr w:rsidR="00396546" w:rsidTr="006B0B41">
        <w:tc>
          <w:tcPr>
            <w:tcW w:w="2283" w:type="dxa"/>
          </w:tcPr>
          <w:p w:rsidR="00396546" w:rsidRPr="006B0B41" w:rsidRDefault="00396546" w:rsidP="006B0B41">
            <w:pPr>
              <w:pStyle w:val="ListParagraph"/>
              <w:ind w:left="0"/>
              <w:rPr>
                <w:b/>
                <w:sz w:val="20"/>
              </w:rPr>
            </w:pPr>
            <w:r w:rsidRPr="006B0B41">
              <w:rPr>
                <w:b/>
                <w:sz w:val="20"/>
              </w:rPr>
              <w:t>Classification</w:t>
            </w:r>
          </w:p>
        </w:tc>
        <w:tc>
          <w:tcPr>
            <w:tcW w:w="1525" w:type="dxa"/>
          </w:tcPr>
          <w:p w:rsidR="00396546" w:rsidRPr="006B0B41" w:rsidRDefault="00396546" w:rsidP="006B0B41">
            <w:pPr>
              <w:pStyle w:val="ListParagraph"/>
              <w:ind w:left="0"/>
              <w:jc w:val="center"/>
              <w:rPr>
                <w:color w:val="FF0000"/>
                <w:sz w:val="20"/>
              </w:rPr>
            </w:pPr>
            <w:r w:rsidRPr="006B0B41">
              <w:rPr>
                <w:sz w:val="20"/>
              </w:rPr>
              <w:t>ML</w:t>
            </w:r>
            <w:r w:rsidRPr="006B0B41">
              <w:rPr>
                <w:sz w:val="20"/>
                <w:vertAlign w:val="subscript"/>
              </w:rPr>
              <w:t>4</w:t>
            </w:r>
            <w:r w:rsidRPr="006B0B41">
              <w:rPr>
                <w:sz w:val="20"/>
              </w:rPr>
              <w:t>X</w:t>
            </w:r>
          </w:p>
        </w:tc>
        <w:tc>
          <w:tcPr>
            <w:tcW w:w="2021" w:type="dxa"/>
          </w:tcPr>
          <w:p w:rsidR="00396546" w:rsidRPr="006B0B41" w:rsidRDefault="00396546" w:rsidP="006B0B41">
            <w:pPr>
              <w:pStyle w:val="ListParagraph"/>
              <w:ind w:left="0"/>
              <w:jc w:val="center"/>
              <w:rPr>
                <w:color w:val="FFFFFF"/>
                <w:sz w:val="20"/>
                <w:vertAlign w:val="superscript"/>
              </w:rPr>
            </w:pPr>
            <w:r w:rsidRPr="006B0B41">
              <w:rPr>
                <w:color w:val="FFFFFF"/>
                <w:sz w:val="20"/>
              </w:rPr>
              <w:t>ML</w:t>
            </w:r>
            <w:r w:rsidRPr="006B0B41">
              <w:rPr>
                <w:color w:val="FFFFFF"/>
                <w:sz w:val="20"/>
                <w:vertAlign w:val="subscript"/>
              </w:rPr>
              <w:t>4</w:t>
            </w:r>
            <w:r w:rsidRPr="006B0B41">
              <w:rPr>
                <w:color w:val="FFFFFF"/>
                <w:sz w:val="20"/>
              </w:rPr>
              <w:t>X</w:t>
            </w:r>
            <w:r w:rsidRPr="006B0B41">
              <w:rPr>
                <w:color w:val="FFFFFF"/>
                <w:sz w:val="20"/>
                <w:vertAlign w:val="subscript"/>
              </w:rPr>
              <w:t>2</w:t>
            </w:r>
            <w:r w:rsidRPr="006B0B41">
              <w:rPr>
                <w:color w:val="FFFFFF"/>
                <w:sz w:val="20"/>
                <w:vertAlign w:val="superscript"/>
              </w:rPr>
              <w:t>+</w:t>
            </w:r>
          </w:p>
        </w:tc>
        <w:tc>
          <w:tcPr>
            <w:tcW w:w="2265" w:type="dxa"/>
          </w:tcPr>
          <w:p w:rsidR="00396546" w:rsidRPr="006B0B41" w:rsidRDefault="00396546" w:rsidP="006B0B41">
            <w:pPr>
              <w:pStyle w:val="ListParagraph"/>
              <w:ind w:left="0"/>
              <w:jc w:val="center"/>
              <w:rPr>
                <w:color w:val="FFFFFF"/>
                <w:sz w:val="20"/>
              </w:rPr>
            </w:pPr>
            <w:r w:rsidRPr="006B0B41">
              <w:rPr>
                <w:color w:val="FFFFFF"/>
                <w:sz w:val="20"/>
              </w:rPr>
              <w:t>ML</w:t>
            </w:r>
            <w:r w:rsidRPr="006B0B41">
              <w:rPr>
                <w:color w:val="FFFFFF"/>
                <w:sz w:val="20"/>
                <w:vertAlign w:val="subscript"/>
              </w:rPr>
              <w:t>4</w:t>
            </w:r>
            <w:r w:rsidRPr="006B0B41">
              <w:rPr>
                <w:color w:val="FFFFFF"/>
                <w:sz w:val="20"/>
              </w:rPr>
              <w:t>X</w:t>
            </w:r>
            <w:r w:rsidRPr="006B0B41">
              <w:rPr>
                <w:color w:val="FFFFFF"/>
                <w:sz w:val="20"/>
                <w:vertAlign w:val="subscript"/>
              </w:rPr>
              <w:t>2</w:t>
            </w:r>
            <w:r w:rsidRPr="006B0B41">
              <w:rPr>
                <w:color w:val="FFFFFF"/>
                <w:sz w:val="20"/>
                <w:vertAlign w:val="superscript"/>
              </w:rPr>
              <w:t>+</w:t>
            </w:r>
          </w:p>
        </w:tc>
      </w:tr>
      <w:tr w:rsidR="00396546" w:rsidTr="006B0B41">
        <w:tc>
          <w:tcPr>
            <w:tcW w:w="2283" w:type="dxa"/>
          </w:tcPr>
          <w:p w:rsidR="00396546" w:rsidRPr="006B0B41" w:rsidRDefault="00396546" w:rsidP="006B0B41">
            <w:pPr>
              <w:pStyle w:val="ListParagraph"/>
              <w:ind w:left="0"/>
              <w:rPr>
                <w:b/>
                <w:sz w:val="20"/>
              </w:rPr>
            </w:pPr>
            <w:r w:rsidRPr="006B0B41">
              <w:rPr>
                <w:b/>
                <w:sz w:val="20"/>
              </w:rPr>
              <w:t>Equivalent neutral class</w:t>
            </w:r>
          </w:p>
        </w:tc>
        <w:tc>
          <w:tcPr>
            <w:tcW w:w="1525" w:type="dxa"/>
          </w:tcPr>
          <w:p w:rsidR="00396546" w:rsidRPr="006B0B41" w:rsidRDefault="00396546" w:rsidP="006B0B41">
            <w:pPr>
              <w:pStyle w:val="ListParagraph"/>
              <w:ind w:left="0"/>
              <w:jc w:val="center"/>
              <w:rPr>
                <w:color w:val="FFFFFF"/>
                <w:sz w:val="20"/>
              </w:rPr>
            </w:pPr>
            <w:r w:rsidRPr="006B0B41">
              <w:rPr>
                <w:color w:val="FFFFFF"/>
                <w:sz w:val="20"/>
              </w:rPr>
              <w:t>ML</w:t>
            </w:r>
            <w:r w:rsidRPr="006B0B41">
              <w:rPr>
                <w:color w:val="FFFFFF"/>
                <w:sz w:val="20"/>
                <w:vertAlign w:val="subscript"/>
              </w:rPr>
              <w:t>4</w:t>
            </w:r>
            <w:r w:rsidRPr="006B0B41">
              <w:rPr>
                <w:color w:val="FFFFFF"/>
                <w:sz w:val="20"/>
              </w:rPr>
              <w:t>X</w:t>
            </w:r>
          </w:p>
        </w:tc>
        <w:tc>
          <w:tcPr>
            <w:tcW w:w="2021" w:type="dxa"/>
          </w:tcPr>
          <w:p w:rsidR="00396546" w:rsidRPr="006B0B41" w:rsidRDefault="00396546" w:rsidP="006B0B41">
            <w:pPr>
              <w:pStyle w:val="ListParagraph"/>
              <w:ind w:left="0"/>
              <w:jc w:val="center"/>
              <w:rPr>
                <w:color w:val="FFFFFF"/>
                <w:sz w:val="20"/>
              </w:rPr>
            </w:pPr>
            <w:r w:rsidRPr="006B0B41">
              <w:rPr>
                <w:color w:val="FFFFFF"/>
                <w:sz w:val="20"/>
              </w:rPr>
              <w:t>ML</w:t>
            </w:r>
            <w:r w:rsidRPr="006B0B41">
              <w:rPr>
                <w:color w:val="FFFFFF"/>
                <w:sz w:val="20"/>
                <w:vertAlign w:val="subscript"/>
              </w:rPr>
              <w:t>3</w:t>
            </w:r>
            <w:r w:rsidRPr="006B0B41">
              <w:rPr>
                <w:color w:val="FFFFFF"/>
                <w:sz w:val="20"/>
              </w:rPr>
              <w:t>X</w:t>
            </w:r>
            <w:r w:rsidRPr="006B0B41">
              <w:rPr>
                <w:color w:val="FFFFFF"/>
                <w:sz w:val="20"/>
                <w:vertAlign w:val="subscript"/>
              </w:rPr>
              <w:t>3</w:t>
            </w:r>
          </w:p>
        </w:tc>
        <w:tc>
          <w:tcPr>
            <w:tcW w:w="2265" w:type="dxa"/>
          </w:tcPr>
          <w:p w:rsidR="00396546" w:rsidRPr="006B0B41" w:rsidRDefault="00396546" w:rsidP="006B0B41">
            <w:pPr>
              <w:pStyle w:val="ListParagraph"/>
              <w:ind w:left="0"/>
              <w:jc w:val="center"/>
              <w:rPr>
                <w:color w:val="FFFFFF"/>
                <w:sz w:val="20"/>
              </w:rPr>
            </w:pPr>
            <w:r w:rsidRPr="006B0B41">
              <w:rPr>
                <w:color w:val="FFFFFF"/>
                <w:sz w:val="20"/>
              </w:rPr>
              <w:t>ML</w:t>
            </w:r>
            <w:r w:rsidRPr="006B0B41">
              <w:rPr>
                <w:color w:val="FFFFFF"/>
                <w:sz w:val="20"/>
                <w:vertAlign w:val="subscript"/>
              </w:rPr>
              <w:t>3</w:t>
            </w:r>
            <w:r w:rsidRPr="006B0B41">
              <w:rPr>
                <w:color w:val="FFFFFF"/>
                <w:sz w:val="20"/>
              </w:rPr>
              <w:t>X</w:t>
            </w:r>
            <w:r w:rsidRPr="006B0B41">
              <w:rPr>
                <w:color w:val="FFFFFF"/>
                <w:sz w:val="20"/>
                <w:vertAlign w:val="subscript"/>
              </w:rPr>
              <w:t>3</w:t>
            </w:r>
          </w:p>
        </w:tc>
      </w:tr>
      <w:tr w:rsidR="00396546" w:rsidTr="006B0B41">
        <w:tc>
          <w:tcPr>
            <w:tcW w:w="2283" w:type="dxa"/>
          </w:tcPr>
          <w:p w:rsidR="00396546" w:rsidRPr="006B0B41" w:rsidRDefault="00396546" w:rsidP="006B0B41">
            <w:pPr>
              <w:pStyle w:val="ListParagraph"/>
              <w:ind w:left="0"/>
              <w:rPr>
                <w:b/>
                <w:sz w:val="20"/>
              </w:rPr>
            </w:pPr>
            <w:smartTag w:uri="urn:schemas-microsoft-com:office:smarttags" w:element="place">
              <w:smartTag w:uri="urn:schemas-microsoft-com:office:smarttags" w:element="City">
                <w:r w:rsidRPr="006B0B41">
                  <w:rPr>
                    <w:b/>
                    <w:sz w:val="20"/>
                  </w:rPr>
                  <w:t>Valence</w:t>
                </w:r>
              </w:smartTag>
            </w:smartTag>
            <w:r w:rsidRPr="006B0B41">
              <w:rPr>
                <w:b/>
                <w:sz w:val="20"/>
              </w:rPr>
              <w:t xml:space="preserve"> number</w:t>
            </w:r>
          </w:p>
        </w:tc>
        <w:tc>
          <w:tcPr>
            <w:tcW w:w="1525" w:type="dxa"/>
          </w:tcPr>
          <w:p w:rsidR="00396546" w:rsidRPr="006B0B41" w:rsidRDefault="00396546" w:rsidP="006B0B41">
            <w:pPr>
              <w:pStyle w:val="ListParagraph"/>
              <w:ind w:left="0"/>
              <w:jc w:val="center"/>
              <w:rPr>
                <w:color w:val="FFFFFF"/>
                <w:sz w:val="20"/>
              </w:rPr>
            </w:pPr>
            <w:r w:rsidRPr="006B0B41">
              <w:rPr>
                <w:color w:val="FFFFFF"/>
                <w:sz w:val="20"/>
              </w:rPr>
              <w:t>1</w:t>
            </w:r>
          </w:p>
        </w:tc>
        <w:tc>
          <w:tcPr>
            <w:tcW w:w="2021" w:type="dxa"/>
          </w:tcPr>
          <w:p w:rsidR="00396546" w:rsidRPr="006B0B41" w:rsidRDefault="00396546" w:rsidP="006B0B41">
            <w:pPr>
              <w:pStyle w:val="ListParagraph"/>
              <w:ind w:left="0"/>
              <w:jc w:val="center"/>
              <w:rPr>
                <w:color w:val="FFFFFF"/>
                <w:sz w:val="20"/>
              </w:rPr>
            </w:pPr>
            <w:r w:rsidRPr="006B0B41">
              <w:rPr>
                <w:color w:val="FFFFFF"/>
                <w:sz w:val="20"/>
              </w:rPr>
              <w:t>3</w:t>
            </w:r>
          </w:p>
        </w:tc>
        <w:tc>
          <w:tcPr>
            <w:tcW w:w="2265" w:type="dxa"/>
          </w:tcPr>
          <w:p w:rsidR="00396546" w:rsidRPr="006B0B41" w:rsidRDefault="00396546" w:rsidP="006B0B41">
            <w:pPr>
              <w:pStyle w:val="ListParagraph"/>
              <w:ind w:left="0"/>
              <w:jc w:val="center"/>
              <w:rPr>
                <w:color w:val="FFFFFF"/>
                <w:sz w:val="20"/>
              </w:rPr>
            </w:pPr>
            <w:r w:rsidRPr="006B0B41">
              <w:rPr>
                <w:color w:val="FFFFFF"/>
                <w:sz w:val="20"/>
              </w:rPr>
              <w:t>3</w:t>
            </w:r>
          </w:p>
        </w:tc>
      </w:tr>
      <w:tr w:rsidR="00396546" w:rsidTr="006B0B41">
        <w:tc>
          <w:tcPr>
            <w:tcW w:w="2283" w:type="dxa"/>
          </w:tcPr>
          <w:p w:rsidR="00396546" w:rsidRPr="006B0B41" w:rsidRDefault="00396546" w:rsidP="006B0B41">
            <w:pPr>
              <w:pStyle w:val="ListParagraph"/>
              <w:ind w:left="0"/>
              <w:rPr>
                <w:b/>
                <w:sz w:val="20"/>
              </w:rPr>
            </w:pPr>
            <w:r w:rsidRPr="006B0B41">
              <w:rPr>
                <w:b/>
                <w:sz w:val="20"/>
              </w:rPr>
              <w:t>Ligand bond number</w:t>
            </w:r>
          </w:p>
        </w:tc>
        <w:tc>
          <w:tcPr>
            <w:tcW w:w="1525" w:type="dxa"/>
          </w:tcPr>
          <w:p w:rsidR="00396546" w:rsidRPr="006B0B41" w:rsidRDefault="00396546" w:rsidP="006B0B41">
            <w:pPr>
              <w:pStyle w:val="ListParagraph"/>
              <w:ind w:left="0"/>
              <w:jc w:val="center"/>
              <w:rPr>
                <w:color w:val="FFFFFF"/>
                <w:sz w:val="20"/>
              </w:rPr>
            </w:pPr>
            <w:r w:rsidRPr="006B0B41">
              <w:rPr>
                <w:color w:val="FFFFFF"/>
                <w:sz w:val="20"/>
              </w:rPr>
              <w:t>5</w:t>
            </w:r>
          </w:p>
        </w:tc>
        <w:tc>
          <w:tcPr>
            <w:tcW w:w="2021" w:type="dxa"/>
          </w:tcPr>
          <w:p w:rsidR="00396546" w:rsidRPr="006B0B41" w:rsidRDefault="00396546" w:rsidP="006B0B41">
            <w:pPr>
              <w:pStyle w:val="ListParagraph"/>
              <w:ind w:left="0"/>
              <w:jc w:val="center"/>
              <w:rPr>
                <w:color w:val="FFFFFF"/>
                <w:sz w:val="20"/>
              </w:rPr>
            </w:pPr>
            <w:r w:rsidRPr="006B0B41">
              <w:rPr>
                <w:color w:val="FFFFFF"/>
                <w:sz w:val="20"/>
              </w:rPr>
              <w:t>6</w:t>
            </w:r>
          </w:p>
        </w:tc>
        <w:tc>
          <w:tcPr>
            <w:tcW w:w="2265" w:type="dxa"/>
          </w:tcPr>
          <w:p w:rsidR="00396546" w:rsidRPr="006B0B41" w:rsidRDefault="00396546" w:rsidP="006B0B41">
            <w:pPr>
              <w:pStyle w:val="ListParagraph"/>
              <w:ind w:left="0"/>
              <w:jc w:val="center"/>
              <w:rPr>
                <w:color w:val="FFFFFF"/>
                <w:sz w:val="20"/>
              </w:rPr>
            </w:pPr>
            <w:r w:rsidRPr="006B0B41">
              <w:rPr>
                <w:color w:val="FFFFFF"/>
                <w:sz w:val="20"/>
              </w:rPr>
              <w:t>6</w:t>
            </w:r>
          </w:p>
        </w:tc>
      </w:tr>
      <w:tr w:rsidR="00396546" w:rsidTr="006B0B41">
        <w:tc>
          <w:tcPr>
            <w:tcW w:w="2283" w:type="dxa"/>
          </w:tcPr>
          <w:p w:rsidR="00396546" w:rsidRPr="006B0B41" w:rsidRDefault="00396546" w:rsidP="006B0B41">
            <w:pPr>
              <w:pStyle w:val="ListParagraph"/>
              <w:ind w:left="0"/>
              <w:rPr>
                <w:b/>
                <w:sz w:val="20"/>
              </w:rPr>
            </w:pPr>
            <w:r w:rsidRPr="006B0B41">
              <w:rPr>
                <w:b/>
                <w:sz w:val="20"/>
              </w:rPr>
              <w:t>Electron number</w:t>
            </w:r>
          </w:p>
        </w:tc>
        <w:tc>
          <w:tcPr>
            <w:tcW w:w="1525" w:type="dxa"/>
          </w:tcPr>
          <w:p w:rsidR="00396546" w:rsidRPr="006B0B41" w:rsidRDefault="00396546" w:rsidP="006B0B41">
            <w:pPr>
              <w:pStyle w:val="ListParagraph"/>
              <w:ind w:left="0"/>
              <w:jc w:val="center"/>
              <w:rPr>
                <w:color w:val="FFFFFF"/>
                <w:sz w:val="20"/>
              </w:rPr>
            </w:pPr>
            <w:r w:rsidRPr="006B0B41">
              <w:rPr>
                <w:color w:val="FFFFFF"/>
                <w:sz w:val="20"/>
              </w:rPr>
              <w:t>18</w:t>
            </w:r>
          </w:p>
        </w:tc>
        <w:tc>
          <w:tcPr>
            <w:tcW w:w="2021" w:type="dxa"/>
          </w:tcPr>
          <w:p w:rsidR="00396546" w:rsidRPr="006B0B41" w:rsidRDefault="00396546" w:rsidP="006B0B41">
            <w:pPr>
              <w:pStyle w:val="ListParagraph"/>
              <w:ind w:left="0"/>
              <w:jc w:val="center"/>
              <w:rPr>
                <w:color w:val="FFFFFF"/>
                <w:sz w:val="20"/>
              </w:rPr>
            </w:pPr>
            <w:r w:rsidRPr="006B0B41">
              <w:rPr>
                <w:color w:val="FFFFFF"/>
                <w:sz w:val="20"/>
              </w:rPr>
              <w:t>18</w:t>
            </w:r>
          </w:p>
        </w:tc>
        <w:tc>
          <w:tcPr>
            <w:tcW w:w="2265" w:type="dxa"/>
          </w:tcPr>
          <w:p w:rsidR="00396546" w:rsidRPr="006B0B41" w:rsidRDefault="00396546" w:rsidP="006B0B41">
            <w:pPr>
              <w:pStyle w:val="ListParagraph"/>
              <w:ind w:left="0"/>
              <w:jc w:val="center"/>
              <w:rPr>
                <w:color w:val="FFFFFF"/>
                <w:sz w:val="20"/>
              </w:rPr>
            </w:pPr>
            <w:r w:rsidRPr="006B0B41">
              <w:rPr>
                <w:color w:val="FFFFFF"/>
                <w:sz w:val="20"/>
              </w:rPr>
              <w:t>18</w:t>
            </w:r>
          </w:p>
        </w:tc>
      </w:tr>
      <w:tr w:rsidR="00396546" w:rsidTr="006B0B41">
        <w:tc>
          <w:tcPr>
            <w:tcW w:w="2283" w:type="dxa"/>
          </w:tcPr>
          <w:p w:rsidR="00396546" w:rsidRPr="006B0B41" w:rsidRDefault="00396546" w:rsidP="006B0B41">
            <w:pPr>
              <w:pStyle w:val="ListParagraph"/>
              <w:ind w:left="0"/>
              <w:rPr>
                <w:b/>
                <w:sz w:val="20"/>
              </w:rPr>
            </w:pPr>
            <w:r w:rsidRPr="006B0B41">
              <w:rPr>
                <w:b/>
                <w:sz w:val="20"/>
              </w:rPr>
              <w:t>d</w:t>
            </w:r>
            <w:r w:rsidRPr="006B0B41">
              <w:rPr>
                <w:b/>
                <w:sz w:val="20"/>
                <w:vertAlign w:val="superscript"/>
              </w:rPr>
              <w:t>n</w:t>
            </w:r>
            <w:r w:rsidRPr="006B0B41">
              <w:rPr>
                <w:b/>
                <w:sz w:val="20"/>
              </w:rPr>
              <w:t xml:space="preserve"> count</w:t>
            </w:r>
          </w:p>
        </w:tc>
        <w:tc>
          <w:tcPr>
            <w:tcW w:w="1525" w:type="dxa"/>
          </w:tcPr>
          <w:p w:rsidR="00396546" w:rsidRPr="006B0B41" w:rsidRDefault="00396546" w:rsidP="006B0B41">
            <w:pPr>
              <w:pStyle w:val="ListParagraph"/>
              <w:ind w:left="0"/>
              <w:jc w:val="center"/>
              <w:rPr>
                <w:color w:val="FFFFFF"/>
                <w:sz w:val="20"/>
              </w:rPr>
            </w:pPr>
            <w:r w:rsidRPr="006B0B41">
              <w:rPr>
                <w:color w:val="FFFFFF"/>
                <w:sz w:val="20"/>
              </w:rPr>
              <w:t>8</w:t>
            </w:r>
          </w:p>
        </w:tc>
        <w:tc>
          <w:tcPr>
            <w:tcW w:w="2021" w:type="dxa"/>
          </w:tcPr>
          <w:p w:rsidR="00396546" w:rsidRPr="006B0B41" w:rsidRDefault="00396546" w:rsidP="006B0B41">
            <w:pPr>
              <w:pStyle w:val="ListParagraph"/>
              <w:ind w:left="0"/>
              <w:jc w:val="center"/>
              <w:rPr>
                <w:color w:val="FFFFFF"/>
                <w:sz w:val="20"/>
              </w:rPr>
            </w:pPr>
            <w:r w:rsidRPr="006B0B41">
              <w:rPr>
                <w:color w:val="FFFFFF"/>
                <w:sz w:val="20"/>
              </w:rPr>
              <w:t>6</w:t>
            </w:r>
          </w:p>
        </w:tc>
        <w:tc>
          <w:tcPr>
            <w:tcW w:w="2265" w:type="dxa"/>
          </w:tcPr>
          <w:p w:rsidR="00396546" w:rsidRPr="006B0B41" w:rsidRDefault="00396546" w:rsidP="006B0B41">
            <w:pPr>
              <w:pStyle w:val="ListParagraph"/>
              <w:ind w:left="0"/>
              <w:jc w:val="center"/>
              <w:rPr>
                <w:color w:val="FFFFFF"/>
                <w:sz w:val="20"/>
              </w:rPr>
            </w:pPr>
            <w:r w:rsidRPr="006B0B41">
              <w:rPr>
                <w:color w:val="FFFFFF"/>
                <w:sz w:val="20"/>
              </w:rPr>
              <w:t>6</w:t>
            </w:r>
          </w:p>
        </w:tc>
      </w:tr>
    </w:tbl>
    <w:p w:rsidR="00396546" w:rsidRDefault="00396546" w:rsidP="006C0028">
      <w:pPr>
        <w:pStyle w:val="ListParagraph"/>
      </w:pPr>
    </w:p>
    <w:p w:rsidR="00396546" w:rsidRDefault="00396546" w:rsidP="009153FC">
      <w:pPr>
        <w:pStyle w:val="ListParagraph"/>
        <w:numPr>
          <w:ilvl w:val="0"/>
          <w:numId w:val="2"/>
        </w:numPr>
      </w:pPr>
      <w:r>
        <w:t>How is basicity defined? How is nucleophilicity defined? How are the reactions associated with the basicity study related to the reactions associated with the nucleophilicity (what changes during the reaction?)?</w:t>
      </w:r>
    </w:p>
    <w:p w:rsidR="00396546" w:rsidRDefault="00396546" w:rsidP="007E2076">
      <w:pPr>
        <w:pStyle w:val="ListParagraph"/>
      </w:pPr>
    </w:p>
    <w:p w:rsidR="00396546" w:rsidRDefault="00396546" w:rsidP="009153FC">
      <w:pPr>
        <w:pStyle w:val="ListParagraph"/>
        <w:numPr>
          <w:ilvl w:val="0"/>
          <w:numId w:val="2"/>
        </w:numPr>
      </w:pPr>
      <w:r>
        <w:t>What is the ultimate goal of this paper?</w:t>
      </w:r>
    </w:p>
    <w:p w:rsidR="00396546" w:rsidRDefault="00396546" w:rsidP="007E2076">
      <w:pPr>
        <w:pStyle w:val="ListParagraph"/>
      </w:pPr>
    </w:p>
    <w:p w:rsidR="00396546" w:rsidRDefault="00396546" w:rsidP="009153FC">
      <w:pPr>
        <w:pStyle w:val="ListParagraph"/>
        <w:numPr>
          <w:ilvl w:val="0"/>
          <w:numId w:val="2"/>
        </w:numPr>
      </w:pPr>
      <w:r>
        <w:t>The focus of this activity is going to be on the protonation study presented in this paper (approximately the first half of the paper). The technique employed to study the protonation was titration calorimetry. Describe this technique to a first-year chemistry student.</w:t>
      </w:r>
    </w:p>
    <w:p w:rsidR="00396546" w:rsidRDefault="00396546" w:rsidP="00EE7A87">
      <w:pPr>
        <w:pStyle w:val="ListParagraph"/>
      </w:pPr>
    </w:p>
    <w:p w:rsidR="00396546" w:rsidRDefault="00396546" w:rsidP="009153FC">
      <w:pPr>
        <w:pStyle w:val="ListParagraph"/>
        <w:numPr>
          <w:ilvl w:val="0"/>
          <w:numId w:val="2"/>
        </w:numPr>
      </w:pPr>
      <w:r>
        <w:t>The acid used in this study was triflic acid, CF</w:t>
      </w:r>
      <w:r>
        <w:rPr>
          <w:vertAlign w:val="subscript"/>
        </w:rPr>
        <w:t>3</w:t>
      </w:r>
      <w:r>
        <w:t>SO</w:t>
      </w:r>
      <w:r>
        <w:rPr>
          <w:vertAlign w:val="subscript"/>
        </w:rPr>
        <w:t>3</w:t>
      </w:r>
      <w:r>
        <w:t>H. Suggest why this acid may have been used. You may need to use additional sources to answer this question. Include appropriate citations.</w:t>
      </w:r>
    </w:p>
    <w:p w:rsidR="00396546" w:rsidRDefault="00396546" w:rsidP="005D008E">
      <w:pPr>
        <w:pStyle w:val="ListParagraph"/>
      </w:pPr>
    </w:p>
    <w:p w:rsidR="00396546" w:rsidRDefault="00396546" w:rsidP="009153FC">
      <w:pPr>
        <w:pStyle w:val="ListParagraph"/>
        <w:numPr>
          <w:ilvl w:val="0"/>
          <w:numId w:val="2"/>
        </w:numPr>
      </w:pPr>
      <w:r>
        <w:t>The Cp</w:t>
      </w:r>
      <w:r>
        <w:rPr>
          <w:rFonts w:ascii="Times New Roman" w:hAnsi="Times New Roman"/>
        </w:rPr>
        <w:t>ʹ</w:t>
      </w:r>
      <w:r>
        <w:t xml:space="preserve"> ligands are varied in the experiment. The two Cp ligands examined are Cp and Cp*. What are the identities of these two ligands? </w:t>
      </w:r>
    </w:p>
    <w:p w:rsidR="00396546" w:rsidRDefault="00396546" w:rsidP="0032684F">
      <w:pPr>
        <w:pStyle w:val="ListParagraph"/>
      </w:pPr>
    </w:p>
    <w:p w:rsidR="00396546" w:rsidRDefault="00396546" w:rsidP="009153FC">
      <w:pPr>
        <w:pStyle w:val="ListParagraph"/>
        <w:numPr>
          <w:ilvl w:val="0"/>
          <w:numId w:val="2"/>
        </w:numPr>
      </w:pPr>
      <w:r>
        <w:t>There is a substantial amount of experimental and spectroscopic detail presented in this paper (Experimental Section). What are the infrared CO stretching frequencies, ν</w:t>
      </w:r>
      <w:r>
        <w:rPr>
          <w:vertAlign w:val="subscript"/>
        </w:rPr>
        <w:t>CO</w:t>
      </w:r>
      <w:r>
        <w:t xml:space="preserve"> for compounds 9 and 16?</w:t>
      </w:r>
      <w:bookmarkStart w:id="0" w:name="_GoBack"/>
      <w:bookmarkEnd w:id="0"/>
      <w:r>
        <w:t xml:space="preserve"> From this data determine which ligand, Cp or Cp*, is more electron donating. Describe how you reached this conclusion.</w:t>
      </w:r>
    </w:p>
    <w:p w:rsidR="00396546" w:rsidRDefault="00396546" w:rsidP="009E7FFC"/>
    <w:p w:rsidR="00396546" w:rsidRDefault="00396546" w:rsidP="009153FC">
      <w:pPr>
        <w:pStyle w:val="ListParagraph"/>
        <w:numPr>
          <w:ilvl w:val="0"/>
          <w:numId w:val="2"/>
        </w:numPr>
      </w:pPr>
      <w:r>
        <w:t xml:space="preserve">Similar reasoning, using </w:t>
      </w:r>
      <w:r w:rsidRPr="00090286">
        <w:t>ν</w:t>
      </w:r>
      <w:r w:rsidRPr="00090286">
        <w:rPr>
          <w:vertAlign w:val="subscript"/>
        </w:rPr>
        <w:t xml:space="preserve">CO </w:t>
      </w:r>
      <w:r w:rsidRPr="00090286">
        <w:t xml:space="preserve">values, </w:t>
      </w:r>
      <w:r>
        <w:t>can be used to rank the electron donating ability of the various phosphine ligands that are used in this study. Based on the data presented for the Cp compounds, which PR</w:t>
      </w:r>
      <w:r>
        <w:rPr>
          <w:vertAlign w:val="subscript"/>
        </w:rPr>
        <w:t>3</w:t>
      </w:r>
      <w:r>
        <w:t xml:space="preserve"> ligand is the most electron donating? The least? Briefly explain how you arrived at these conclusions.</w:t>
      </w:r>
    </w:p>
    <w:p w:rsidR="00396546" w:rsidRDefault="00396546" w:rsidP="005D008E">
      <w:pPr>
        <w:pStyle w:val="ListParagraph"/>
      </w:pPr>
    </w:p>
    <w:p w:rsidR="00396546" w:rsidRDefault="00396546" w:rsidP="00090286">
      <w:pPr>
        <w:pStyle w:val="ListParagraph"/>
        <w:numPr>
          <w:ilvl w:val="0"/>
          <w:numId w:val="2"/>
        </w:numPr>
      </w:pPr>
      <w:r>
        <w:t>The paper describes another method of measuring the donor ability of the PR</w:t>
      </w:r>
      <w:r>
        <w:rPr>
          <w:vertAlign w:val="subscript"/>
        </w:rPr>
        <w:t>3</w:t>
      </w:r>
      <w:r>
        <w:t xml:space="preserve"> ligands,    –ΔH</w:t>
      </w:r>
      <w:r>
        <w:rPr>
          <w:vertAlign w:val="subscript"/>
        </w:rPr>
        <w:t>HP</w:t>
      </w:r>
      <w:r>
        <w:t xml:space="preserve"> (see equation 3, bottom of first column on p 1325, and Table 3). Briefly describe how –ΔH</w:t>
      </w:r>
      <w:r>
        <w:rPr>
          <w:vertAlign w:val="subscript"/>
        </w:rPr>
        <w:t>HP</w:t>
      </w:r>
      <w:r>
        <w:t xml:space="preserve"> was measured and how this measurement correlates to the IR data discussed in the previous questions.</w:t>
      </w:r>
    </w:p>
    <w:p w:rsidR="00396546" w:rsidRDefault="00396546" w:rsidP="0071405F">
      <w:pPr>
        <w:pStyle w:val="ListParagraph"/>
      </w:pPr>
    </w:p>
    <w:p w:rsidR="00396546" w:rsidRDefault="00396546" w:rsidP="009153FC">
      <w:pPr>
        <w:pStyle w:val="ListParagraph"/>
        <w:numPr>
          <w:ilvl w:val="0"/>
          <w:numId w:val="2"/>
        </w:numPr>
      </w:pPr>
      <w:r>
        <w:t>Table 3 also presents another metric often associated with PR</w:t>
      </w:r>
      <w:r>
        <w:rPr>
          <w:vertAlign w:val="subscript"/>
        </w:rPr>
        <w:t>3</w:t>
      </w:r>
      <w:r>
        <w:t xml:space="preserve"> ligands, cone angle. Briefly define cone angle and how it is relevant to this study. You may need to use additional sources to answer this question. Include citations.</w:t>
      </w:r>
    </w:p>
    <w:p w:rsidR="00396546" w:rsidRDefault="00396546" w:rsidP="00FC41D1">
      <w:pPr>
        <w:pStyle w:val="ListParagraph"/>
      </w:pPr>
    </w:p>
    <w:p w:rsidR="00396546" w:rsidRDefault="00396546" w:rsidP="009153FC">
      <w:pPr>
        <w:pStyle w:val="ListParagraph"/>
        <w:numPr>
          <w:ilvl w:val="0"/>
          <w:numId w:val="2"/>
        </w:numPr>
      </w:pPr>
      <w:r>
        <w:t>How does the electron donor ability of the Cp</w:t>
      </w:r>
      <w:r>
        <w:rPr>
          <w:rFonts w:ascii="Times New Roman" w:hAnsi="Times New Roman"/>
        </w:rPr>
        <w:t>ʹ</w:t>
      </w:r>
      <w:r>
        <w:t xml:space="preserve"> ligands influence the basicity of the compounds? Explain.</w:t>
      </w:r>
    </w:p>
    <w:p w:rsidR="00396546" w:rsidRDefault="00396546" w:rsidP="00670E4C">
      <w:pPr>
        <w:pStyle w:val="ListParagraph"/>
      </w:pPr>
    </w:p>
    <w:p w:rsidR="00396546" w:rsidRDefault="00396546" w:rsidP="009153FC">
      <w:pPr>
        <w:pStyle w:val="ListParagraph"/>
        <w:numPr>
          <w:ilvl w:val="0"/>
          <w:numId w:val="2"/>
        </w:numPr>
      </w:pPr>
      <w:r>
        <w:t>Does the electron donor ability of the PR</w:t>
      </w:r>
      <w:r>
        <w:rPr>
          <w:vertAlign w:val="subscript"/>
        </w:rPr>
        <w:t>3</w:t>
      </w:r>
      <w:r>
        <w:t xml:space="preserve"> ligands impact the basicity of the Ir compounds? Explain.</w:t>
      </w:r>
    </w:p>
    <w:p w:rsidR="00396546" w:rsidRDefault="00396546" w:rsidP="00670E4C">
      <w:pPr>
        <w:pStyle w:val="ListParagraph"/>
      </w:pPr>
    </w:p>
    <w:p w:rsidR="00396546" w:rsidRPr="009E7FFC" w:rsidRDefault="00396546" w:rsidP="009E7FFC">
      <w:pPr>
        <w:pStyle w:val="ListParagraph"/>
        <w:numPr>
          <w:ilvl w:val="0"/>
          <w:numId w:val="2"/>
        </w:numPr>
      </w:pPr>
      <w:r>
        <w:t>Upon protonation, the ν</w:t>
      </w:r>
      <w:r>
        <w:rPr>
          <w:vertAlign w:val="subscript"/>
        </w:rPr>
        <w:t>CO</w:t>
      </w:r>
      <w:r>
        <w:t xml:space="preserve"> bands shift dramatically to higher wavenumbers. For example, the ν</w:t>
      </w:r>
      <w:r>
        <w:rPr>
          <w:vertAlign w:val="subscript"/>
        </w:rPr>
        <w:t>CO</w:t>
      </w:r>
      <w:r>
        <w:t xml:space="preserve"> for compound 9 occurs at 1916 cm</w:t>
      </w:r>
      <w:r>
        <w:rPr>
          <w:vertAlign w:val="superscript"/>
        </w:rPr>
        <w:t>-1</w:t>
      </w:r>
      <w:r>
        <w:t xml:space="preserve"> while the band for 9H</w:t>
      </w:r>
      <w:r>
        <w:rPr>
          <w:vertAlign w:val="superscript"/>
        </w:rPr>
        <w:t>+</w:t>
      </w:r>
      <w:r>
        <w:t xml:space="preserve"> CF</w:t>
      </w:r>
      <w:r>
        <w:rPr>
          <w:vertAlign w:val="subscript"/>
        </w:rPr>
        <w:t>3</w:t>
      </w:r>
      <w:r>
        <w:t>SO</w:t>
      </w:r>
      <w:r>
        <w:rPr>
          <w:vertAlign w:val="subscript"/>
        </w:rPr>
        <w:t>3</w:t>
      </w:r>
      <w:r>
        <w:rPr>
          <w:vertAlign w:val="superscript"/>
        </w:rPr>
        <w:t>-</w:t>
      </w:r>
      <w:r>
        <w:t xml:space="preserve"> occurs at 2052 cm</w:t>
      </w:r>
      <w:r>
        <w:rPr>
          <w:vertAlign w:val="superscript"/>
        </w:rPr>
        <w:t>-1</w:t>
      </w:r>
      <w:r>
        <w:t>. Account for this change.</w:t>
      </w:r>
    </w:p>
    <w:sectPr w:rsidR="00396546" w:rsidRPr="009E7FFC" w:rsidSect="00AC5466">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546" w:rsidRDefault="00396546" w:rsidP="0058431D">
      <w:r>
        <w:separator/>
      </w:r>
    </w:p>
  </w:endnote>
  <w:endnote w:type="continuationSeparator" w:id="0">
    <w:p w:rsidR="00396546" w:rsidRDefault="00396546" w:rsidP="005843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546" w:rsidRDefault="00396546" w:rsidP="0058431D">
      <w:r>
        <w:separator/>
      </w:r>
    </w:p>
  </w:footnote>
  <w:footnote w:type="continuationSeparator" w:id="0">
    <w:p w:rsidR="00396546" w:rsidRDefault="00396546" w:rsidP="005843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46" w:rsidRPr="00D102C0" w:rsidRDefault="00396546" w:rsidP="0058431D">
    <w:pPr>
      <w:spacing w:before="75" w:after="75"/>
      <w:outlineLvl w:val="0"/>
      <w:rPr>
        <w:rFonts w:ascii="Times New Roman" w:hAnsi="Times New Roman"/>
        <w:kern w:val="36"/>
        <w:szCs w:val="24"/>
      </w:rPr>
    </w:pPr>
    <w:r>
      <w:rPr>
        <w:rFonts w:ascii="Times New Roman" w:hAnsi="Times New Roman"/>
        <w:kern w:val="36"/>
        <w:szCs w:val="24"/>
      </w:rPr>
      <w:t>Protonation and methylation of CpʹIr(CO)(PR</w:t>
    </w:r>
    <w:r>
      <w:rPr>
        <w:rFonts w:ascii="Times New Roman" w:hAnsi="Times New Roman"/>
        <w:kern w:val="36"/>
        <w:szCs w:val="24"/>
        <w:vertAlign w:val="subscript"/>
      </w:rPr>
      <w:t>3</w:t>
    </w:r>
    <w:r>
      <w:rPr>
        <w:rFonts w:ascii="Times New Roman" w:hAnsi="Times New Roman"/>
        <w:kern w:val="36"/>
        <w:szCs w:val="24"/>
      </w:rPr>
      <w:t>) compounds</w:t>
    </w:r>
  </w:p>
  <w:p w:rsidR="00396546" w:rsidRDefault="00396546" w:rsidP="0058431D">
    <w:pPr>
      <w:pStyle w:val="Header"/>
      <w:rPr>
        <w:rFonts w:cs="Comic Sans MS"/>
        <w:color w:val="000000"/>
        <w:sz w:val="15"/>
        <w:szCs w:val="15"/>
      </w:rPr>
    </w:pPr>
    <w:r>
      <w:rPr>
        <w:rFonts w:cs="Comic Sans MS"/>
        <w:color w:val="000000"/>
        <w:sz w:val="15"/>
        <w:szCs w:val="15"/>
      </w:rPr>
      <w:t xml:space="preserve">Created by Chip Nataro, </w:t>
    </w:r>
    <w:smartTag w:uri="urn:schemas-microsoft-com:office:smarttags" w:element="place">
      <w:smartTag w:uri="urn:schemas-microsoft-com:office:smarttags" w:element="PlaceName">
        <w:r>
          <w:rPr>
            <w:rFonts w:cs="Comic Sans MS"/>
            <w:color w:val="000000"/>
            <w:sz w:val="15"/>
            <w:szCs w:val="15"/>
          </w:rPr>
          <w:t>Lafayette</w:t>
        </w:r>
      </w:smartTag>
      <w:r>
        <w:rPr>
          <w:rFonts w:cs="Comic Sans MS"/>
          <w:color w:val="000000"/>
          <w:sz w:val="15"/>
          <w:szCs w:val="15"/>
        </w:rPr>
        <w:t xml:space="preserve"> </w:t>
      </w:r>
      <w:smartTag w:uri="urn:schemas-microsoft-com:office:smarttags" w:element="PlaceType">
        <w:r>
          <w:rPr>
            <w:rFonts w:cs="Comic Sans MS"/>
            <w:color w:val="000000"/>
            <w:sz w:val="15"/>
            <w:szCs w:val="15"/>
          </w:rPr>
          <w:t>College</w:t>
        </w:r>
      </w:smartTag>
    </w:smartTag>
    <w:r>
      <w:rPr>
        <w:rFonts w:cs="Comic Sans MS"/>
        <w:color w:val="000000"/>
        <w:sz w:val="15"/>
        <w:szCs w:val="15"/>
      </w:rPr>
      <w:t xml:space="preserve"> (nataroc@lafayette.edu) and posted on VIPEr (www.ionicviper.org) on 2016, Copyright Chip Nataro 2016. This work is licensed under the Creative Commons Attribution Non-commercial Share Alike License. To view a copy of this license visit </w:t>
    </w:r>
    <w:hyperlink r:id="rId1" w:history="1">
      <w:r>
        <w:rPr>
          <w:rStyle w:val="Hyperlink"/>
          <w:rFonts w:cs="Comic Sans MS"/>
          <w:sz w:val="15"/>
          <w:szCs w:val="15"/>
        </w:rPr>
        <w:t>http://creativecommons.org/about/license/</w:t>
      </w:r>
    </w:hyperlink>
    <w:r>
      <w:rPr>
        <w:rFonts w:cs="Comic Sans MS"/>
        <w:color w:val="000000"/>
        <w:sz w:val="15"/>
        <w:szCs w:val="15"/>
      </w:rPr>
      <w:t>.</w:t>
    </w:r>
  </w:p>
  <w:p w:rsidR="00396546" w:rsidRDefault="00396546">
    <w:pPr>
      <w:pStyle w:val="Header"/>
    </w:pPr>
  </w:p>
  <w:p w:rsidR="00396546" w:rsidRDefault="0039654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0A2716"/>
    <w:multiLevelType w:val="hybridMultilevel"/>
    <w:tmpl w:val="1AA6B2E2"/>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7813CDE"/>
    <w:multiLevelType w:val="singleLevel"/>
    <w:tmpl w:val="A66271AE"/>
    <w:lvl w:ilvl="0">
      <w:start w:val="1"/>
      <w:numFmt w:val="decimal"/>
      <w:lvlText w:val="%1)"/>
      <w:lvlJc w:val="left"/>
      <w:pPr>
        <w:tabs>
          <w:tab w:val="num" w:pos="720"/>
        </w:tabs>
        <w:ind w:left="720" w:hanging="720"/>
      </w:pPr>
      <w:rPr>
        <w:rFonts w:cs="Times New Roman"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1B2D"/>
    <w:rsid w:val="0002602A"/>
    <w:rsid w:val="00045672"/>
    <w:rsid w:val="00074F34"/>
    <w:rsid w:val="00090286"/>
    <w:rsid w:val="00191A82"/>
    <w:rsid w:val="001C47C9"/>
    <w:rsid w:val="001D5530"/>
    <w:rsid w:val="001E7D9F"/>
    <w:rsid w:val="00206C6D"/>
    <w:rsid w:val="00260435"/>
    <w:rsid w:val="002A72C0"/>
    <w:rsid w:val="002D6FF2"/>
    <w:rsid w:val="0032684F"/>
    <w:rsid w:val="00396546"/>
    <w:rsid w:val="00542239"/>
    <w:rsid w:val="00546FEF"/>
    <w:rsid w:val="0058431D"/>
    <w:rsid w:val="005D008E"/>
    <w:rsid w:val="00605A43"/>
    <w:rsid w:val="00670E4C"/>
    <w:rsid w:val="006B0B41"/>
    <w:rsid w:val="006C0028"/>
    <w:rsid w:val="0071405F"/>
    <w:rsid w:val="007629A4"/>
    <w:rsid w:val="007949A7"/>
    <w:rsid w:val="007A67CC"/>
    <w:rsid w:val="007C0333"/>
    <w:rsid w:val="007E2076"/>
    <w:rsid w:val="007E4ECE"/>
    <w:rsid w:val="00807068"/>
    <w:rsid w:val="008500FA"/>
    <w:rsid w:val="009153FC"/>
    <w:rsid w:val="009252A3"/>
    <w:rsid w:val="009B6C91"/>
    <w:rsid w:val="009E7FFC"/>
    <w:rsid w:val="00AB6F74"/>
    <w:rsid w:val="00AC5466"/>
    <w:rsid w:val="00AE2942"/>
    <w:rsid w:val="00AE46E9"/>
    <w:rsid w:val="00B61A9C"/>
    <w:rsid w:val="00BD71DB"/>
    <w:rsid w:val="00C50145"/>
    <w:rsid w:val="00C54DE5"/>
    <w:rsid w:val="00C9458F"/>
    <w:rsid w:val="00D102C0"/>
    <w:rsid w:val="00DD123B"/>
    <w:rsid w:val="00DF0860"/>
    <w:rsid w:val="00DF6D30"/>
    <w:rsid w:val="00E0201A"/>
    <w:rsid w:val="00E1463F"/>
    <w:rsid w:val="00E21B2D"/>
    <w:rsid w:val="00E75436"/>
    <w:rsid w:val="00EE7A87"/>
    <w:rsid w:val="00F60E87"/>
    <w:rsid w:val="00FC41D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1B2D"/>
    <w:rPr>
      <w:rFonts w:ascii="Times" w:eastAsia="Times New Roman" w:hAnsi="Times"/>
      <w:sz w:val="24"/>
      <w:szCs w:val="20"/>
    </w:rPr>
  </w:style>
  <w:style w:type="paragraph" w:styleId="Heading1">
    <w:name w:val="heading 1"/>
    <w:basedOn w:val="Normal"/>
    <w:link w:val="Heading1Char"/>
    <w:uiPriority w:val="99"/>
    <w:qFormat/>
    <w:rsid w:val="007949A7"/>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949A7"/>
    <w:rPr>
      <w:rFonts w:eastAsia="Times New Roman" w:cs="Times New Roman"/>
      <w:b/>
      <w:bCs/>
      <w:kern w:val="36"/>
      <w:sz w:val="48"/>
      <w:szCs w:val="48"/>
    </w:rPr>
  </w:style>
  <w:style w:type="paragraph" w:styleId="Header">
    <w:name w:val="header"/>
    <w:basedOn w:val="Normal"/>
    <w:link w:val="HeaderChar"/>
    <w:uiPriority w:val="99"/>
    <w:rsid w:val="0058431D"/>
    <w:pPr>
      <w:tabs>
        <w:tab w:val="center" w:pos="4680"/>
        <w:tab w:val="right" w:pos="9360"/>
      </w:tabs>
    </w:pPr>
  </w:style>
  <w:style w:type="character" w:customStyle="1" w:styleId="HeaderChar">
    <w:name w:val="Header Char"/>
    <w:basedOn w:val="DefaultParagraphFont"/>
    <w:link w:val="Header"/>
    <w:uiPriority w:val="99"/>
    <w:locked/>
    <w:rsid w:val="0058431D"/>
    <w:rPr>
      <w:rFonts w:ascii="Times" w:hAnsi="Times" w:cs="Times New Roman"/>
      <w:sz w:val="20"/>
      <w:szCs w:val="20"/>
    </w:rPr>
  </w:style>
  <w:style w:type="paragraph" w:styleId="Footer">
    <w:name w:val="footer"/>
    <w:basedOn w:val="Normal"/>
    <w:link w:val="FooterChar"/>
    <w:uiPriority w:val="99"/>
    <w:semiHidden/>
    <w:rsid w:val="0058431D"/>
    <w:pPr>
      <w:tabs>
        <w:tab w:val="center" w:pos="4680"/>
        <w:tab w:val="right" w:pos="9360"/>
      </w:tabs>
    </w:pPr>
  </w:style>
  <w:style w:type="character" w:customStyle="1" w:styleId="FooterChar">
    <w:name w:val="Footer Char"/>
    <w:basedOn w:val="DefaultParagraphFont"/>
    <w:link w:val="Footer"/>
    <w:uiPriority w:val="99"/>
    <w:semiHidden/>
    <w:locked/>
    <w:rsid w:val="0058431D"/>
    <w:rPr>
      <w:rFonts w:ascii="Times" w:hAnsi="Times" w:cs="Times New Roman"/>
      <w:sz w:val="20"/>
      <w:szCs w:val="20"/>
    </w:rPr>
  </w:style>
  <w:style w:type="paragraph" w:styleId="BalloonText">
    <w:name w:val="Balloon Text"/>
    <w:basedOn w:val="Normal"/>
    <w:link w:val="BalloonTextChar"/>
    <w:uiPriority w:val="99"/>
    <w:semiHidden/>
    <w:rsid w:val="0058431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431D"/>
    <w:rPr>
      <w:rFonts w:ascii="Tahoma" w:hAnsi="Tahoma" w:cs="Tahoma"/>
      <w:sz w:val="16"/>
      <w:szCs w:val="16"/>
    </w:rPr>
  </w:style>
  <w:style w:type="character" w:styleId="Hyperlink">
    <w:name w:val="Hyperlink"/>
    <w:basedOn w:val="DefaultParagraphFont"/>
    <w:uiPriority w:val="99"/>
    <w:semiHidden/>
    <w:rsid w:val="0058431D"/>
    <w:rPr>
      <w:rFonts w:cs="Times New Roman"/>
      <w:color w:val="0000FF"/>
      <w:u w:val="single"/>
    </w:rPr>
  </w:style>
  <w:style w:type="table" w:styleId="TableGrid">
    <w:name w:val="Table Grid"/>
    <w:basedOn w:val="TableNormal"/>
    <w:uiPriority w:val="99"/>
    <w:rsid w:val="001E7D9F"/>
    <w:rPr>
      <w:rFonts w:ascii="Times" w:eastAsia="Times New Roman" w:hAnsi="Times"/>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uiPriority w:val="99"/>
    <w:rsid w:val="007949A7"/>
    <w:rPr>
      <w:rFonts w:cs="Times New Roman"/>
    </w:rPr>
  </w:style>
  <w:style w:type="paragraph" w:styleId="ListParagraph">
    <w:name w:val="List Paragraph"/>
    <w:basedOn w:val="Normal"/>
    <w:uiPriority w:val="99"/>
    <w:qFormat/>
    <w:rsid w:val="009153FC"/>
    <w:pPr>
      <w:ind w:left="720"/>
      <w:contextualSpacing/>
    </w:pPr>
  </w:style>
  <w:style w:type="character" w:styleId="Strong">
    <w:name w:val="Strong"/>
    <w:basedOn w:val="DefaultParagraphFont"/>
    <w:uiPriority w:val="99"/>
    <w:qFormat/>
    <w:rsid w:val="0002602A"/>
    <w:rPr>
      <w:rFonts w:cs="Times New Roman"/>
      <w:b/>
      <w:bCs/>
    </w:rPr>
  </w:style>
  <w:style w:type="character" w:styleId="PlaceholderText">
    <w:name w:val="Placeholder Text"/>
    <w:basedOn w:val="DefaultParagraphFont"/>
    <w:uiPriority w:val="99"/>
    <w:semiHidden/>
    <w:rsid w:val="0071405F"/>
    <w:rPr>
      <w:rFonts w:cs="Times New Roman"/>
      <w:color w:val="808080"/>
    </w:rPr>
  </w:style>
</w:styles>
</file>

<file path=word/webSettings.xml><?xml version="1.0" encoding="utf-8"?>
<w:webSettings xmlns:r="http://schemas.openxmlformats.org/officeDocument/2006/relationships" xmlns:w="http://schemas.openxmlformats.org/wordprocessingml/2006/main">
  <w:divs>
    <w:div w:id="634912901">
      <w:marLeft w:val="0"/>
      <w:marRight w:val="0"/>
      <w:marTop w:val="0"/>
      <w:marBottom w:val="0"/>
      <w:divBdr>
        <w:top w:val="none" w:sz="0" w:space="0" w:color="auto"/>
        <w:left w:val="none" w:sz="0" w:space="0" w:color="auto"/>
        <w:bottom w:val="none" w:sz="0" w:space="0" w:color="auto"/>
        <w:right w:val="none" w:sz="0" w:space="0" w:color="auto"/>
      </w:divBdr>
    </w:div>
    <w:div w:id="634912902">
      <w:marLeft w:val="0"/>
      <w:marRight w:val="0"/>
      <w:marTop w:val="0"/>
      <w:marBottom w:val="0"/>
      <w:divBdr>
        <w:top w:val="none" w:sz="0" w:space="0" w:color="auto"/>
        <w:left w:val="none" w:sz="0" w:space="0" w:color="auto"/>
        <w:bottom w:val="none" w:sz="0" w:space="0" w:color="auto"/>
        <w:right w:val="none" w:sz="0" w:space="0" w:color="auto"/>
      </w:divBdr>
    </w:div>
    <w:div w:id="634912903">
      <w:marLeft w:val="0"/>
      <w:marRight w:val="0"/>
      <w:marTop w:val="0"/>
      <w:marBottom w:val="0"/>
      <w:divBdr>
        <w:top w:val="none" w:sz="0" w:space="0" w:color="auto"/>
        <w:left w:val="none" w:sz="0" w:space="0" w:color="auto"/>
        <w:bottom w:val="none" w:sz="0" w:space="0" w:color="auto"/>
        <w:right w:val="none" w:sz="0" w:space="0" w:color="auto"/>
      </w:divBdr>
    </w:div>
    <w:div w:id="6349129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258</TotalTime>
  <Pages>2</Pages>
  <Words>474</Words>
  <Characters>2707</Characters>
  <Application>Microsoft Office Outlook</Application>
  <DocSecurity>0</DocSecurity>
  <Lines>0</Lines>
  <Paragraphs>0</Paragraphs>
  <ScaleCrop>false</ScaleCrop>
  <Company>Lafayette College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Chip Nataro</dc:creator>
  <cp:keywords/>
  <dc:description/>
  <cp:lastModifiedBy>Nataro</cp:lastModifiedBy>
  <cp:revision>8</cp:revision>
  <dcterms:created xsi:type="dcterms:W3CDTF">2016-04-13T18:21:00Z</dcterms:created>
  <dcterms:modified xsi:type="dcterms:W3CDTF">2016-07-16T22:33:00Z</dcterms:modified>
</cp:coreProperties>
</file>