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D6551" w14:textId="53A69093" w:rsidR="00CC05B9" w:rsidRDefault="00CC05B9" w:rsidP="00AD2259">
      <w:proofErr w:type="spellStart"/>
      <w:r>
        <w:t>Plese</w:t>
      </w:r>
      <w:proofErr w:type="spellEnd"/>
      <w:r>
        <w:t xml:space="preserve"> work on the following problems in groups of 3 or 4 and be prepared to share your responses with the rest of the class.  Many questions have more than one possible answer, so don't limit </w:t>
      </w:r>
      <w:proofErr w:type="gramStart"/>
      <w:r>
        <w:t>yourself</w:t>
      </w:r>
      <w:proofErr w:type="gramEnd"/>
      <w:r>
        <w:t>!  Also, these are selected examples from the primary literature, so the data are occasionally messy and not straightforward.  Good luck!</w:t>
      </w:r>
    </w:p>
    <w:p w14:paraId="40248A3A" w14:textId="77777777" w:rsidR="00CC05B9" w:rsidRDefault="00CC05B9" w:rsidP="00AD2259"/>
    <w:p w14:paraId="5DEC4711" w14:textId="312B14F9" w:rsidR="00AD2259" w:rsidRDefault="00AD2259" w:rsidP="00AD2259">
      <w:pPr>
        <w:pStyle w:val="ListParagraph"/>
        <w:numPr>
          <w:ilvl w:val="0"/>
          <w:numId w:val="7"/>
        </w:numPr>
        <w:tabs>
          <w:tab w:val="center" w:pos="4680"/>
          <w:tab w:val="right" w:pos="9360"/>
        </w:tabs>
      </w:pPr>
      <w:r>
        <w:t>Buchwald disclosed (</w:t>
      </w:r>
      <w:r>
        <w:rPr>
          <w:i/>
        </w:rPr>
        <w:t>J. Am. Chem. Soc.</w:t>
      </w:r>
      <w:r>
        <w:t xml:space="preserve"> </w:t>
      </w:r>
      <w:r>
        <w:rPr>
          <w:b/>
        </w:rPr>
        <w:t>2009</w:t>
      </w:r>
      <w:r>
        <w:t xml:space="preserve">, 7532) that the amino-substituted </w:t>
      </w:r>
      <w:proofErr w:type="spellStart"/>
      <w:r>
        <w:t>dialkyl</w:t>
      </w:r>
      <w:proofErr w:type="spellEnd"/>
      <w:r>
        <w:t xml:space="preserve"> </w:t>
      </w:r>
      <w:proofErr w:type="spellStart"/>
      <w:r>
        <w:t>biarylphosphine</w:t>
      </w:r>
      <w:proofErr w:type="spellEnd"/>
      <w:r>
        <w:t xml:space="preserve"> ligand </w:t>
      </w:r>
      <w:proofErr w:type="spellStart"/>
      <w:r>
        <w:rPr>
          <w:b/>
        </w:rPr>
        <w:t>CPhos</w:t>
      </w:r>
      <w:proofErr w:type="spellEnd"/>
      <w:r>
        <w:t xml:space="preserve">, shown below, is much a much more effective supporting ligand for the </w:t>
      </w:r>
      <w:proofErr w:type="spellStart"/>
      <w:r>
        <w:t>Negishi</w:t>
      </w:r>
      <w:proofErr w:type="spellEnd"/>
      <w:r>
        <w:t xml:space="preserve"> coupling of secondary </w:t>
      </w:r>
      <w:proofErr w:type="spellStart"/>
      <w:r>
        <w:t>alkylzinc</w:t>
      </w:r>
      <w:proofErr w:type="spellEnd"/>
      <w:r>
        <w:t xml:space="preserve"> reagents and aryl bromides than the closely related </w:t>
      </w:r>
      <w:proofErr w:type="spellStart"/>
      <w:r>
        <w:rPr>
          <w:b/>
        </w:rPr>
        <w:t>XPhos</w:t>
      </w:r>
      <w:proofErr w:type="spellEnd"/>
      <w:r>
        <w:t xml:space="preserve"> ligand.  Two notable</w:t>
      </w:r>
      <w:r w:rsidR="00CC05B9">
        <w:t xml:space="preserve"> results are summarized below.</w:t>
      </w:r>
    </w:p>
    <w:p w14:paraId="4C6F4997" w14:textId="77777777" w:rsidR="00AD2259" w:rsidRDefault="00AD2259" w:rsidP="00AD2259"/>
    <w:p w14:paraId="64670DB4" w14:textId="77777777" w:rsidR="00AD2259" w:rsidRDefault="00AD2259" w:rsidP="00AD2259">
      <w:pPr>
        <w:jc w:val="center"/>
      </w:pPr>
      <w:r>
        <w:object w:dxaOrig="9070" w:dyaOrig="6149" w14:anchorId="75E39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246pt" o:ole="">
            <v:imagedata r:id="rId9" o:title=""/>
          </v:shape>
          <o:OLEObject Type="Embed" ProgID="ChemDraw.Document.6.0" ShapeID="_x0000_i1025" DrawAspect="Content" ObjectID="_1482301413" r:id="rId10"/>
        </w:object>
      </w:r>
    </w:p>
    <w:p w14:paraId="6085A926" w14:textId="77777777" w:rsidR="00AD2259" w:rsidRDefault="00AD2259" w:rsidP="00AD2259"/>
    <w:p w14:paraId="02B71331" w14:textId="77777777" w:rsidR="00AD2259" w:rsidRDefault="00AD2259" w:rsidP="00AD2259"/>
    <w:p w14:paraId="5CD05485" w14:textId="5501A251" w:rsidR="00CC05B9" w:rsidRDefault="00CC05B9" w:rsidP="00CC05B9">
      <w:pPr>
        <w:pStyle w:val="ListParagraph"/>
        <w:numPr>
          <w:ilvl w:val="1"/>
          <w:numId w:val="7"/>
        </w:numPr>
        <w:tabs>
          <w:tab w:val="center" w:pos="4680"/>
          <w:tab w:val="right" w:pos="9360"/>
        </w:tabs>
        <w:ind w:left="720"/>
      </w:pPr>
      <w:r>
        <w:t xml:space="preserve">Rationalize the results </w:t>
      </w:r>
      <w:r>
        <w:t xml:space="preserve">above </w:t>
      </w:r>
      <w:r>
        <w:t>using your knowledge of ligand effects in C–C cross coupling reactions.</w:t>
      </w:r>
    </w:p>
    <w:p w14:paraId="28949C10" w14:textId="77777777" w:rsidR="00CC05B9" w:rsidRDefault="00CC05B9" w:rsidP="00CC05B9">
      <w:pPr>
        <w:tabs>
          <w:tab w:val="center" w:pos="4680"/>
          <w:tab w:val="right" w:pos="9360"/>
        </w:tabs>
      </w:pPr>
    </w:p>
    <w:p w14:paraId="3ABCDDEF" w14:textId="77777777" w:rsidR="00CC05B9" w:rsidRDefault="00CC05B9" w:rsidP="00CC05B9">
      <w:pPr>
        <w:tabs>
          <w:tab w:val="center" w:pos="4680"/>
          <w:tab w:val="right" w:pos="9360"/>
        </w:tabs>
      </w:pPr>
    </w:p>
    <w:p w14:paraId="7A9AF1DD" w14:textId="77777777" w:rsidR="00CC05B9" w:rsidRDefault="00CC05B9" w:rsidP="00CC05B9">
      <w:pPr>
        <w:tabs>
          <w:tab w:val="center" w:pos="4680"/>
          <w:tab w:val="right" w:pos="9360"/>
        </w:tabs>
      </w:pPr>
    </w:p>
    <w:p w14:paraId="253D9589" w14:textId="77777777" w:rsidR="00CC05B9" w:rsidRDefault="00CC05B9" w:rsidP="00CC05B9">
      <w:pPr>
        <w:tabs>
          <w:tab w:val="center" w:pos="4680"/>
          <w:tab w:val="right" w:pos="9360"/>
        </w:tabs>
      </w:pPr>
    </w:p>
    <w:p w14:paraId="469E71F9" w14:textId="77777777" w:rsidR="00CC05B9" w:rsidRDefault="00CC05B9" w:rsidP="00CC05B9">
      <w:pPr>
        <w:tabs>
          <w:tab w:val="center" w:pos="4680"/>
          <w:tab w:val="right" w:pos="9360"/>
        </w:tabs>
      </w:pPr>
    </w:p>
    <w:p w14:paraId="4787490E" w14:textId="77777777" w:rsidR="00CC05B9" w:rsidRDefault="00CC05B9" w:rsidP="00CC05B9">
      <w:pPr>
        <w:tabs>
          <w:tab w:val="center" w:pos="4680"/>
          <w:tab w:val="right" w:pos="9360"/>
        </w:tabs>
      </w:pPr>
    </w:p>
    <w:p w14:paraId="2C0A71A2" w14:textId="77777777" w:rsidR="00CC05B9" w:rsidRDefault="00CC05B9" w:rsidP="00CC05B9">
      <w:pPr>
        <w:tabs>
          <w:tab w:val="center" w:pos="4680"/>
          <w:tab w:val="right" w:pos="9360"/>
        </w:tabs>
      </w:pPr>
    </w:p>
    <w:p w14:paraId="27B61BA2" w14:textId="77777777" w:rsidR="00CC05B9" w:rsidRDefault="00CC05B9" w:rsidP="00CC05B9">
      <w:pPr>
        <w:tabs>
          <w:tab w:val="center" w:pos="4680"/>
          <w:tab w:val="right" w:pos="9360"/>
        </w:tabs>
      </w:pPr>
    </w:p>
    <w:p w14:paraId="4467DFFE" w14:textId="77777777" w:rsidR="00AD2259" w:rsidRDefault="00AD2259" w:rsidP="00CC05B9">
      <w:pPr>
        <w:pStyle w:val="ListParagraph"/>
        <w:numPr>
          <w:ilvl w:val="1"/>
          <w:numId w:val="7"/>
        </w:numPr>
        <w:tabs>
          <w:tab w:val="center" w:pos="4680"/>
          <w:tab w:val="right" w:pos="9360"/>
        </w:tabs>
        <w:ind w:left="720"/>
      </w:pPr>
      <w:r>
        <w:t xml:space="preserve">In order for catalysis to proceed in the above reaction, the palladium </w:t>
      </w:r>
      <w:proofErr w:type="spellStart"/>
      <w:r>
        <w:t>precatalyst</w:t>
      </w:r>
      <w:proofErr w:type="spellEnd"/>
      <w:r>
        <w:t xml:space="preserve"> must be reduced from </w:t>
      </w:r>
      <w:proofErr w:type="spellStart"/>
      <w:proofErr w:type="gramStart"/>
      <w:r>
        <w:t>Pd</w:t>
      </w:r>
      <w:proofErr w:type="spellEnd"/>
      <w:r>
        <w:t>(</w:t>
      </w:r>
      <w:proofErr w:type="gramEnd"/>
      <w:r>
        <w:t xml:space="preserve">II) to </w:t>
      </w:r>
      <w:proofErr w:type="spellStart"/>
      <w:r>
        <w:t>Pd</w:t>
      </w:r>
      <w:proofErr w:type="spellEnd"/>
      <w:r>
        <w:t>(0).  How might this happen in the reaction shown?</w:t>
      </w:r>
    </w:p>
    <w:p w14:paraId="6008FF05" w14:textId="77777777" w:rsidR="00AD2259" w:rsidRDefault="00AD2259" w:rsidP="00AD2259"/>
    <w:p w14:paraId="542C5B4D" w14:textId="77777777" w:rsidR="00AD2259" w:rsidRDefault="00AD2259" w:rsidP="00AD2259"/>
    <w:p w14:paraId="2706C5B1" w14:textId="77777777" w:rsidR="00CC05B9" w:rsidRDefault="00CC05B9" w:rsidP="00AD2259"/>
    <w:p w14:paraId="49DAF184" w14:textId="77777777" w:rsidR="00CC05B9" w:rsidRDefault="00CC05B9" w:rsidP="00AD2259"/>
    <w:p w14:paraId="3F5F6A32" w14:textId="77777777" w:rsidR="00CC05B9" w:rsidRDefault="00CC05B9">
      <w:r>
        <w:br w:type="page"/>
      </w:r>
    </w:p>
    <w:p w14:paraId="44B775CF" w14:textId="104EF025" w:rsidR="00AD2259" w:rsidRDefault="00AD2259" w:rsidP="00CC05B9">
      <w:pPr>
        <w:pStyle w:val="ListParagraph"/>
        <w:numPr>
          <w:ilvl w:val="1"/>
          <w:numId w:val="7"/>
        </w:numPr>
        <w:tabs>
          <w:tab w:val="center" w:pos="4680"/>
          <w:tab w:val="right" w:pos="9360"/>
        </w:tabs>
        <w:ind w:left="720"/>
      </w:pPr>
      <w:r>
        <w:lastRenderedPageBreak/>
        <w:t xml:space="preserve">The </w:t>
      </w:r>
      <w:proofErr w:type="spellStart"/>
      <w:r>
        <w:t>Negishi</w:t>
      </w:r>
      <w:proofErr w:type="spellEnd"/>
      <w:r>
        <w:t xml:space="preserve"> reaction shown in (1) gives a low yield (&lt;5%) of product with a high P1:P2 ratio (&gt;95:5) if the di-</w:t>
      </w:r>
      <w:proofErr w:type="spellStart"/>
      <w:r>
        <w:rPr>
          <w:i/>
        </w:rPr>
        <w:t>tert</w:t>
      </w:r>
      <w:proofErr w:type="spellEnd"/>
      <w:r>
        <w:t>-</w:t>
      </w:r>
      <w:proofErr w:type="spellStart"/>
      <w:r>
        <w:t>butylphosphine</w:t>
      </w:r>
      <w:proofErr w:type="spellEnd"/>
      <w:r>
        <w:t xml:space="preserve"> analogue of </w:t>
      </w:r>
      <w:proofErr w:type="spellStart"/>
      <w:r>
        <w:t>CPhos</w:t>
      </w:r>
      <w:proofErr w:type="spellEnd"/>
      <w:r>
        <w:t xml:space="preserve"> is used.  Given this information, what can we say about the kinetics of the reaction utilizing the bulky di-</w:t>
      </w:r>
      <w:proofErr w:type="spellStart"/>
      <w:r>
        <w:rPr>
          <w:i/>
        </w:rPr>
        <w:t>tert</w:t>
      </w:r>
      <w:proofErr w:type="spellEnd"/>
      <w:r>
        <w:t>-</w:t>
      </w:r>
      <w:proofErr w:type="spellStart"/>
      <w:r>
        <w:t>butylphosphine</w:t>
      </w:r>
      <w:proofErr w:type="spellEnd"/>
      <w:r>
        <w:t xml:space="preserve"> ligand?  Why are the results different from those with other ligands shown?</w:t>
      </w:r>
    </w:p>
    <w:p w14:paraId="105444BD" w14:textId="4A79E731" w:rsidR="00AD2259" w:rsidRDefault="00AD2259" w:rsidP="00AD2259">
      <w:pPr>
        <w:spacing w:after="200" w:line="276" w:lineRule="auto"/>
        <w:rPr>
          <w:noProof/>
        </w:rPr>
      </w:pPr>
    </w:p>
    <w:p w14:paraId="41A71346" w14:textId="77777777" w:rsidR="00CC05B9" w:rsidRDefault="00CC05B9" w:rsidP="00AD2259">
      <w:pPr>
        <w:spacing w:after="200" w:line="276" w:lineRule="auto"/>
        <w:rPr>
          <w:noProof/>
        </w:rPr>
      </w:pPr>
    </w:p>
    <w:p w14:paraId="419B416A" w14:textId="77777777" w:rsidR="00CC05B9" w:rsidRDefault="00CC05B9" w:rsidP="00AD2259">
      <w:pPr>
        <w:spacing w:after="200" w:line="276" w:lineRule="auto"/>
        <w:rPr>
          <w:noProof/>
        </w:rPr>
      </w:pPr>
    </w:p>
    <w:p w14:paraId="7C29694E" w14:textId="77777777" w:rsidR="00CC05B9" w:rsidRDefault="00CC05B9" w:rsidP="00AD2259">
      <w:pPr>
        <w:spacing w:after="200" w:line="276" w:lineRule="auto"/>
        <w:rPr>
          <w:noProof/>
        </w:rPr>
      </w:pPr>
    </w:p>
    <w:p w14:paraId="5BB9C175" w14:textId="77777777" w:rsidR="00CC05B9" w:rsidRDefault="00CC05B9" w:rsidP="00AD2259">
      <w:pPr>
        <w:spacing w:after="200" w:line="276" w:lineRule="auto"/>
        <w:rPr>
          <w:noProof/>
        </w:rPr>
      </w:pPr>
    </w:p>
    <w:p w14:paraId="003F838B" w14:textId="77777777" w:rsidR="00CC05B9" w:rsidRDefault="00CC05B9" w:rsidP="00AD2259">
      <w:pPr>
        <w:spacing w:after="200" w:line="276" w:lineRule="auto"/>
        <w:rPr>
          <w:noProof/>
        </w:rPr>
      </w:pPr>
    </w:p>
    <w:p w14:paraId="0BDDCD65" w14:textId="77777777" w:rsidR="00AD2259" w:rsidRDefault="00AD2259" w:rsidP="00AD2259">
      <w:pPr>
        <w:numPr>
          <w:ilvl w:val="0"/>
          <w:numId w:val="7"/>
        </w:numPr>
      </w:pPr>
      <w:r>
        <w:rPr>
          <w:noProof/>
        </w:rPr>
        <w:t>Cross-coupling reactions between two sp</w:t>
      </w:r>
      <w:r>
        <w:rPr>
          <w:noProof/>
          <w:vertAlign w:val="superscript"/>
        </w:rPr>
        <w:t>3</w:t>
      </w:r>
      <w:r>
        <w:rPr>
          <w:noProof/>
        </w:rPr>
        <w:t>-hybridized carbon centers are challenging.  In 2001, Fu reported (</w:t>
      </w:r>
      <w:r>
        <w:rPr>
          <w:i/>
          <w:noProof/>
        </w:rPr>
        <w:t>J. Am. Chem. Soc.</w:t>
      </w:r>
      <w:r>
        <w:rPr>
          <w:noProof/>
        </w:rPr>
        <w:t xml:space="preserve"> </w:t>
      </w:r>
      <w:r>
        <w:rPr>
          <w:b/>
          <w:noProof/>
        </w:rPr>
        <w:t>2001</w:t>
      </w:r>
      <w:r>
        <w:rPr>
          <w:noProof/>
        </w:rPr>
        <w:t>, 10099) that palladium catalysts can facilitate the Suzuki coupling of such substrates, as shown below.  However, the reaction is very sensitive to the type of ligand used.  Using what you know about cross-coupling reactions in general and specifically the Suzuki reaction, answer the following questions.</w:t>
      </w:r>
    </w:p>
    <w:p w14:paraId="571D6126" w14:textId="77777777" w:rsidR="00AD2259" w:rsidRDefault="00AD2259" w:rsidP="00AD2259">
      <w:pPr>
        <w:rPr>
          <w:noProof/>
        </w:rPr>
      </w:pPr>
    </w:p>
    <w:p w14:paraId="1D24D742" w14:textId="77777777" w:rsidR="00AD2259" w:rsidRDefault="00AD2259" w:rsidP="00AD2259">
      <w:r>
        <w:object w:dxaOrig="13830" w:dyaOrig="3004" w14:anchorId="36AA133D">
          <v:shape id="_x0000_i1026" type="#_x0000_t75" style="width:474pt;height:102.75pt" o:ole="">
            <v:imagedata r:id="rId11" o:title=""/>
          </v:shape>
          <o:OLEObject Type="Embed" ProgID="ChemDraw.Document.6.0" ShapeID="_x0000_i1026" DrawAspect="Content" ObjectID="_1482301414" r:id="rId12"/>
        </w:object>
      </w:r>
    </w:p>
    <w:p w14:paraId="2962BA65" w14:textId="77777777" w:rsidR="00AD2259" w:rsidRDefault="00AD2259" w:rsidP="00AD2259"/>
    <w:tbl>
      <w:tblPr>
        <w:tblW w:w="0" w:type="auto"/>
        <w:jc w:val="center"/>
        <w:tblLook w:val="04A0" w:firstRow="1" w:lastRow="0" w:firstColumn="1" w:lastColumn="0" w:noHBand="0" w:noVBand="1"/>
      </w:tblPr>
      <w:tblGrid>
        <w:gridCol w:w="1278"/>
        <w:gridCol w:w="1890"/>
        <w:gridCol w:w="1800"/>
      </w:tblGrid>
      <w:tr w:rsidR="00AD2259" w14:paraId="46CDD884" w14:textId="77777777" w:rsidTr="00313C32">
        <w:trPr>
          <w:jc w:val="center"/>
        </w:trPr>
        <w:tc>
          <w:tcPr>
            <w:tcW w:w="1278" w:type="dxa"/>
            <w:tcBorders>
              <w:top w:val="single" w:sz="4" w:space="0" w:color="000000"/>
              <w:bottom w:val="single" w:sz="4" w:space="0" w:color="000000"/>
            </w:tcBorders>
            <w:shd w:val="clear" w:color="auto" w:fill="auto"/>
          </w:tcPr>
          <w:p w14:paraId="4B95901B" w14:textId="77777777" w:rsidR="00AD2259" w:rsidRPr="00B024F5" w:rsidRDefault="00AD2259" w:rsidP="00313C32">
            <w:pPr>
              <w:jc w:val="center"/>
              <w:rPr>
                <w:b/>
                <w:noProof/>
              </w:rPr>
            </w:pPr>
            <w:r w:rsidRPr="00B024F5">
              <w:rPr>
                <w:b/>
                <w:noProof/>
              </w:rPr>
              <w:t>Ligand</w:t>
            </w:r>
          </w:p>
        </w:tc>
        <w:tc>
          <w:tcPr>
            <w:tcW w:w="1890" w:type="dxa"/>
            <w:tcBorders>
              <w:top w:val="single" w:sz="4" w:space="0" w:color="000000"/>
              <w:bottom w:val="single" w:sz="4" w:space="0" w:color="000000"/>
            </w:tcBorders>
            <w:shd w:val="clear" w:color="auto" w:fill="auto"/>
          </w:tcPr>
          <w:p w14:paraId="43C6265D" w14:textId="77777777" w:rsidR="00AD2259" w:rsidRPr="00B024F5" w:rsidRDefault="00AD2259" w:rsidP="00313C32">
            <w:pPr>
              <w:jc w:val="center"/>
              <w:rPr>
                <w:b/>
                <w:noProof/>
              </w:rPr>
            </w:pPr>
            <w:r>
              <w:rPr>
                <w:noProof/>
              </w:rPr>
              <w:t xml:space="preserve">% yield of </w:t>
            </w:r>
            <w:r w:rsidRPr="00B024F5">
              <w:rPr>
                <w:b/>
                <w:i/>
                <w:noProof/>
              </w:rPr>
              <w:t>P1</w:t>
            </w:r>
          </w:p>
        </w:tc>
        <w:tc>
          <w:tcPr>
            <w:tcW w:w="1800" w:type="dxa"/>
            <w:tcBorders>
              <w:top w:val="single" w:sz="4" w:space="0" w:color="000000"/>
              <w:bottom w:val="single" w:sz="4" w:space="0" w:color="000000"/>
            </w:tcBorders>
            <w:shd w:val="clear" w:color="auto" w:fill="auto"/>
          </w:tcPr>
          <w:p w14:paraId="23BA8D5C" w14:textId="77777777" w:rsidR="00AD2259" w:rsidRDefault="00AD2259" w:rsidP="00313C32">
            <w:pPr>
              <w:jc w:val="center"/>
              <w:rPr>
                <w:noProof/>
              </w:rPr>
            </w:pPr>
            <w:r>
              <w:rPr>
                <w:noProof/>
              </w:rPr>
              <w:t xml:space="preserve">% yield of </w:t>
            </w:r>
            <w:r w:rsidRPr="00B024F5">
              <w:rPr>
                <w:b/>
                <w:i/>
                <w:noProof/>
              </w:rPr>
              <w:t>P2</w:t>
            </w:r>
          </w:p>
        </w:tc>
      </w:tr>
      <w:tr w:rsidR="00AD2259" w14:paraId="687A05F2" w14:textId="77777777" w:rsidTr="00313C32">
        <w:trPr>
          <w:jc w:val="center"/>
        </w:trPr>
        <w:tc>
          <w:tcPr>
            <w:tcW w:w="1278" w:type="dxa"/>
            <w:tcBorders>
              <w:top w:val="single" w:sz="4" w:space="0" w:color="000000"/>
            </w:tcBorders>
            <w:shd w:val="clear" w:color="auto" w:fill="auto"/>
          </w:tcPr>
          <w:p w14:paraId="61F80E7A" w14:textId="77777777" w:rsidR="00AD2259" w:rsidRPr="00CC7839" w:rsidRDefault="00AD2259" w:rsidP="00313C32">
            <w:pPr>
              <w:jc w:val="center"/>
              <w:rPr>
                <w:noProof/>
              </w:rPr>
            </w:pPr>
            <w:r>
              <w:rPr>
                <w:noProof/>
              </w:rPr>
              <w:t>PCy</w:t>
            </w:r>
            <w:r w:rsidRPr="00B024F5">
              <w:rPr>
                <w:noProof/>
                <w:vertAlign w:val="subscript"/>
              </w:rPr>
              <w:t>3</w:t>
            </w:r>
          </w:p>
        </w:tc>
        <w:tc>
          <w:tcPr>
            <w:tcW w:w="1890" w:type="dxa"/>
            <w:tcBorders>
              <w:top w:val="single" w:sz="4" w:space="0" w:color="000000"/>
            </w:tcBorders>
            <w:shd w:val="clear" w:color="auto" w:fill="auto"/>
          </w:tcPr>
          <w:p w14:paraId="045045F3" w14:textId="77777777" w:rsidR="00AD2259" w:rsidRDefault="00AD2259" w:rsidP="00313C32">
            <w:pPr>
              <w:jc w:val="center"/>
              <w:rPr>
                <w:noProof/>
              </w:rPr>
            </w:pPr>
            <w:r>
              <w:rPr>
                <w:noProof/>
              </w:rPr>
              <w:t>85</w:t>
            </w:r>
          </w:p>
        </w:tc>
        <w:tc>
          <w:tcPr>
            <w:tcW w:w="1800" w:type="dxa"/>
            <w:tcBorders>
              <w:top w:val="single" w:sz="4" w:space="0" w:color="000000"/>
            </w:tcBorders>
            <w:shd w:val="clear" w:color="auto" w:fill="auto"/>
          </w:tcPr>
          <w:p w14:paraId="169836C6" w14:textId="77777777" w:rsidR="00AD2259" w:rsidRDefault="00AD2259" w:rsidP="00313C32">
            <w:pPr>
              <w:jc w:val="center"/>
              <w:rPr>
                <w:noProof/>
              </w:rPr>
            </w:pPr>
            <w:r>
              <w:rPr>
                <w:noProof/>
              </w:rPr>
              <w:t>&lt;2</w:t>
            </w:r>
          </w:p>
        </w:tc>
      </w:tr>
      <w:tr w:rsidR="00AD2259" w14:paraId="1580F0AC" w14:textId="77777777" w:rsidTr="00313C32">
        <w:trPr>
          <w:jc w:val="center"/>
        </w:trPr>
        <w:tc>
          <w:tcPr>
            <w:tcW w:w="1278" w:type="dxa"/>
            <w:shd w:val="clear" w:color="auto" w:fill="auto"/>
          </w:tcPr>
          <w:p w14:paraId="2C4301B6" w14:textId="77777777" w:rsidR="00AD2259" w:rsidRPr="00B024F5" w:rsidRDefault="00AD2259" w:rsidP="00313C32">
            <w:pPr>
              <w:jc w:val="center"/>
              <w:rPr>
                <w:noProof/>
                <w:vertAlign w:val="subscript"/>
              </w:rPr>
            </w:pPr>
            <w:r>
              <w:rPr>
                <w:noProof/>
              </w:rPr>
              <w:t>P(</w:t>
            </w:r>
            <w:r w:rsidRPr="00B024F5">
              <w:rPr>
                <w:i/>
                <w:noProof/>
              </w:rPr>
              <w:t>i</w:t>
            </w:r>
            <w:r w:rsidRPr="00DF0348">
              <w:rPr>
                <w:noProof/>
              </w:rPr>
              <w:t>-</w:t>
            </w:r>
            <w:r>
              <w:rPr>
                <w:noProof/>
              </w:rPr>
              <w:t>Pr)</w:t>
            </w:r>
            <w:r w:rsidRPr="00B024F5">
              <w:rPr>
                <w:noProof/>
                <w:vertAlign w:val="subscript"/>
              </w:rPr>
              <w:softHyphen/>
              <w:t>3</w:t>
            </w:r>
          </w:p>
        </w:tc>
        <w:tc>
          <w:tcPr>
            <w:tcW w:w="1890" w:type="dxa"/>
            <w:shd w:val="clear" w:color="auto" w:fill="auto"/>
          </w:tcPr>
          <w:p w14:paraId="21A57311" w14:textId="77777777" w:rsidR="00AD2259" w:rsidRDefault="00AD2259" w:rsidP="00313C32">
            <w:pPr>
              <w:jc w:val="center"/>
              <w:rPr>
                <w:noProof/>
              </w:rPr>
            </w:pPr>
            <w:r>
              <w:rPr>
                <w:noProof/>
              </w:rPr>
              <w:t>68</w:t>
            </w:r>
          </w:p>
        </w:tc>
        <w:tc>
          <w:tcPr>
            <w:tcW w:w="1800" w:type="dxa"/>
            <w:shd w:val="clear" w:color="auto" w:fill="auto"/>
          </w:tcPr>
          <w:p w14:paraId="633C25BF" w14:textId="77777777" w:rsidR="00AD2259" w:rsidRDefault="00AD2259" w:rsidP="00313C32">
            <w:pPr>
              <w:jc w:val="center"/>
              <w:rPr>
                <w:noProof/>
              </w:rPr>
            </w:pPr>
            <w:r>
              <w:rPr>
                <w:noProof/>
              </w:rPr>
              <w:t>6</w:t>
            </w:r>
          </w:p>
        </w:tc>
      </w:tr>
      <w:tr w:rsidR="00AD2259" w14:paraId="1B1937C9" w14:textId="77777777" w:rsidTr="00313C32">
        <w:trPr>
          <w:jc w:val="center"/>
        </w:trPr>
        <w:tc>
          <w:tcPr>
            <w:tcW w:w="1278" w:type="dxa"/>
            <w:shd w:val="clear" w:color="auto" w:fill="auto"/>
          </w:tcPr>
          <w:p w14:paraId="0E9DB9A0" w14:textId="77777777" w:rsidR="00AD2259" w:rsidRPr="00CC7839" w:rsidRDefault="00AD2259" w:rsidP="00313C32">
            <w:pPr>
              <w:jc w:val="center"/>
              <w:rPr>
                <w:noProof/>
              </w:rPr>
            </w:pPr>
            <w:r>
              <w:rPr>
                <w:noProof/>
              </w:rPr>
              <w:t>P(</w:t>
            </w:r>
            <w:r w:rsidRPr="00B024F5">
              <w:rPr>
                <w:i/>
                <w:noProof/>
              </w:rPr>
              <w:t>t</w:t>
            </w:r>
            <w:r>
              <w:rPr>
                <w:noProof/>
              </w:rPr>
              <w:t>-</w:t>
            </w:r>
            <w:r w:rsidRPr="00DF0348">
              <w:rPr>
                <w:noProof/>
              </w:rPr>
              <w:t>Bu</w:t>
            </w:r>
            <w:r>
              <w:rPr>
                <w:noProof/>
              </w:rPr>
              <w:t>)</w:t>
            </w:r>
            <w:r w:rsidRPr="00B024F5">
              <w:rPr>
                <w:noProof/>
                <w:vertAlign w:val="subscript"/>
              </w:rPr>
              <w:t>3</w:t>
            </w:r>
          </w:p>
        </w:tc>
        <w:tc>
          <w:tcPr>
            <w:tcW w:w="1890" w:type="dxa"/>
            <w:shd w:val="clear" w:color="auto" w:fill="auto"/>
          </w:tcPr>
          <w:p w14:paraId="53E6D902" w14:textId="77777777" w:rsidR="00AD2259" w:rsidRDefault="00AD2259" w:rsidP="00313C32">
            <w:pPr>
              <w:jc w:val="center"/>
              <w:rPr>
                <w:noProof/>
              </w:rPr>
            </w:pPr>
            <w:r>
              <w:rPr>
                <w:noProof/>
              </w:rPr>
              <w:t>&lt;2</w:t>
            </w:r>
          </w:p>
        </w:tc>
        <w:tc>
          <w:tcPr>
            <w:tcW w:w="1800" w:type="dxa"/>
            <w:shd w:val="clear" w:color="auto" w:fill="auto"/>
          </w:tcPr>
          <w:p w14:paraId="5A20102B" w14:textId="77777777" w:rsidR="00AD2259" w:rsidRDefault="00AD2259" w:rsidP="00313C32">
            <w:pPr>
              <w:jc w:val="center"/>
              <w:rPr>
                <w:noProof/>
              </w:rPr>
            </w:pPr>
            <w:r>
              <w:rPr>
                <w:noProof/>
              </w:rPr>
              <w:t>21</w:t>
            </w:r>
          </w:p>
        </w:tc>
      </w:tr>
      <w:tr w:rsidR="00AD2259" w14:paraId="5D1E3583" w14:textId="77777777" w:rsidTr="00313C32">
        <w:trPr>
          <w:jc w:val="center"/>
        </w:trPr>
        <w:tc>
          <w:tcPr>
            <w:tcW w:w="1278" w:type="dxa"/>
            <w:shd w:val="clear" w:color="auto" w:fill="auto"/>
          </w:tcPr>
          <w:p w14:paraId="317DDEA8" w14:textId="77777777" w:rsidR="00AD2259" w:rsidRDefault="00AD2259" w:rsidP="00313C32">
            <w:pPr>
              <w:jc w:val="center"/>
              <w:rPr>
                <w:noProof/>
              </w:rPr>
            </w:pPr>
            <w:r>
              <w:rPr>
                <w:noProof/>
              </w:rPr>
              <w:t>dppf</w:t>
            </w:r>
          </w:p>
        </w:tc>
        <w:tc>
          <w:tcPr>
            <w:tcW w:w="1890" w:type="dxa"/>
            <w:shd w:val="clear" w:color="auto" w:fill="auto"/>
          </w:tcPr>
          <w:p w14:paraId="44D39531" w14:textId="77777777" w:rsidR="00AD2259" w:rsidRDefault="00AD2259" w:rsidP="00313C32">
            <w:pPr>
              <w:jc w:val="center"/>
              <w:rPr>
                <w:noProof/>
              </w:rPr>
            </w:pPr>
            <w:r>
              <w:rPr>
                <w:noProof/>
              </w:rPr>
              <w:t>&lt;2</w:t>
            </w:r>
          </w:p>
        </w:tc>
        <w:tc>
          <w:tcPr>
            <w:tcW w:w="1800" w:type="dxa"/>
            <w:shd w:val="clear" w:color="auto" w:fill="auto"/>
          </w:tcPr>
          <w:p w14:paraId="040F618E" w14:textId="77777777" w:rsidR="00AD2259" w:rsidRDefault="00AD2259" w:rsidP="00313C32">
            <w:pPr>
              <w:jc w:val="center"/>
              <w:rPr>
                <w:noProof/>
              </w:rPr>
            </w:pPr>
            <w:r>
              <w:rPr>
                <w:noProof/>
              </w:rPr>
              <w:t>12</w:t>
            </w:r>
          </w:p>
        </w:tc>
      </w:tr>
      <w:tr w:rsidR="00AD2259" w14:paraId="7734C915" w14:textId="77777777" w:rsidTr="00313C32">
        <w:trPr>
          <w:jc w:val="center"/>
        </w:trPr>
        <w:tc>
          <w:tcPr>
            <w:tcW w:w="1278" w:type="dxa"/>
            <w:tcBorders>
              <w:bottom w:val="single" w:sz="4" w:space="0" w:color="000000"/>
            </w:tcBorders>
            <w:shd w:val="clear" w:color="auto" w:fill="auto"/>
          </w:tcPr>
          <w:p w14:paraId="6AF7D3E1" w14:textId="77777777" w:rsidR="00AD2259" w:rsidRDefault="00AD2259" w:rsidP="00313C32">
            <w:pPr>
              <w:jc w:val="center"/>
              <w:rPr>
                <w:noProof/>
              </w:rPr>
            </w:pPr>
            <w:r>
              <w:rPr>
                <w:noProof/>
              </w:rPr>
              <w:t>PPh</w:t>
            </w:r>
            <w:r w:rsidRPr="00B024F5">
              <w:rPr>
                <w:noProof/>
                <w:vertAlign w:val="subscript"/>
              </w:rPr>
              <w:t>3</w:t>
            </w:r>
          </w:p>
        </w:tc>
        <w:tc>
          <w:tcPr>
            <w:tcW w:w="1890" w:type="dxa"/>
            <w:tcBorders>
              <w:bottom w:val="single" w:sz="4" w:space="0" w:color="000000"/>
            </w:tcBorders>
            <w:shd w:val="clear" w:color="auto" w:fill="auto"/>
          </w:tcPr>
          <w:p w14:paraId="40885127" w14:textId="77777777" w:rsidR="00AD2259" w:rsidRDefault="00AD2259" w:rsidP="00313C32">
            <w:pPr>
              <w:jc w:val="center"/>
              <w:rPr>
                <w:noProof/>
              </w:rPr>
            </w:pPr>
            <w:r>
              <w:rPr>
                <w:noProof/>
              </w:rPr>
              <w:t>&lt;2</w:t>
            </w:r>
          </w:p>
        </w:tc>
        <w:tc>
          <w:tcPr>
            <w:tcW w:w="1800" w:type="dxa"/>
            <w:tcBorders>
              <w:bottom w:val="single" w:sz="4" w:space="0" w:color="000000"/>
            </w:tcBorders>
            <w:shd w:val="clear" w:color="auto" w:fill="auto"/>
          </w:tcPr>
          <w:p w14:paraId="489E2D18" w14:textId="77777777" w:rsidR="00AD2259" w:rsidRDefault="00AD2259" w:rsidP="00313C32">
            <w:pPr>
              <w:jc w:val="center"/>
              <w:rPr>
                <w:noProof/>
              </w:rPr>
            </w:pPr>
            <w:r>
              <w:rPr>
                <w:noProof/>
              </w:rPr>
              <w:t>&lt;2</w:t>
            </w:r>
          </w:p>
        </w:tc>
      </w:tr>
    </w:tbl>
    <w:p w14:paraId="3F1322E4" w14:textId="77777777" w:rsidR="00AD2259" w:rsidRDefault="00AD2259" w:rsidP="00AD2259"/>
    <w:p w14:paraId="5C2E4CD5" w14:textId="77777777" w:rsidR="00AD2259" w:rsidRDefault="00AD2259" w:rsidP="00AD2259">
      <w:pPr>
        <w:numPr>
          <w:ilvl w:val="0"/>
          <w:numId w:val="8"/>
        </w:numPr>
        <w:rPr>
          <w:noProof/>
        </w:rPr>
      </w:pPr>
      <w:r>
        <w:t>The reaction shown above does not proceed in the absence of potassium phosphate (or other appropriate additive).  What is the role of K</w:t>
      </w:r>
      <w:r>
        <w:rPr>
          <w:vertAlign w:val="subscript"/>
        </w:rPr>
        <w:t>3</w:t>
      </w:r>
      <w:r>
        <w:t>PO</w:t>
      </w:r>
      <w:r>
        <w:rPr>
          <w:vertAlign w:val="subscript"/>
        </w:rPr>
        <w:t>4</w:t>
      </w:r>
      <w:r>
        <w:t>·H</w:t>
      </w:r>
      <w:r>
        <w:rPr>
          <w:vertAlign w:val="subscript"/>
        </w:rPr>
        <w:t>2</w:t>
      </w:r>
      <w:r>
        <w:t>O (the hydrate of potassium phosphate) in the reaction?</w:t>
      </w:r>
    </w:p>
    <w:p w14:paraId="77467692" w14:textId="77777777" w:rsidR="00AD2259" w:rsidRDefault="00AD2259" w:rsidP="00AD2259"/>
    <w:p w14:paraId="42C2AAD9" w14:textId="77777777" w:rsidR="00CC05B9" w:rsidRDefault="00CC05B9">
      <w:pPr>
        <w:rPr>
          <w:noProof/>
        </w:rPr>
      </w:pPr>
      <w:r>
        <w:rPr>
          <w:noProof/>
        </w:rPr>
        <w:br w:type="page"/>
      </w:r>
    </w:p>
    <w:p w14:paraId="024DBD2F" w14:textId="1FA61D67" w:rsidR="00AD2259" w:rsidRDefault="00AD2259" w:rsidP="00AD2259">
      <w:pPr>
        <w:numPr>
          <w:ilvl w:val="0"/>
          <w:numId w:val="8"/>
        </w:numPr>
        <w:rPr>
          <w:noProof/>
        </w:rPr>
      </w:pPr>
      <w:r>
        <w:rPr>
          <w:noProof/>
        </w:rPr>
        <w:lastRenderedPageBreak/>
        <w:t>When PPh</w:t>
      </w:r>
      <w:r>
        <w:rPr>
          <w:noProof/>
          <w:vertAlign w:val="subscript"/>
        </w:rPr>
        <w:t>3</w:t>
      </w:r>
      <w:r>
        <w:rPr>
          <w:noProof/>
        </w:rPr>
        <w:t xml:space="preserve"> is used in the reaction shown above, neither </w:t>
      </w:r>
      <w:r>
        <w:rPr>
          <w:b/>
          <w:i/>
          <w:noProof/>
        </w:rPr>
        <w:t>P1</w:t>
      </w:r>
      <w:r>
        <w:rPr>
          <w:noProof/>
        </w:rPr>
        <w:t xml:space="preserve"> nor </w:t>
      </w:r>
      <w:r>
        <w:rPr>
          <w:b/>
          <w:i/>
          <w:noProof/>
        </w:rPr>
        <w:t>P2</w:t>
      </w:r>
      <w:r>
        <w:rPr>
          <w:noProof/>
        </w:rPr>
        <w:t xml:space="preserve"> is observed.  However, Suzuki has reported (</w:t>
      </w:r>
      <w:r>
        <w:rPr>
          <w:i/>
          <w:noProof/>
        </w:rPr>
        <w:t>Chem. Lett.</w:t>
      </w:r>
      <w:r>
        <w:rPr>
          <w:noProof/>
        </w:rPr>
        <w:t xml:space="preserve"> </w:t>
      </w:r>
      <w:r>
        <w:rPr>
          <w:b/>
          <w:noProof/>
        </w:rPr>
        <w:t>1992</w:t>
      </w:r>
      <w:r>
        <w:rPr>
          <w:noProof/>
        </w:rPr>
        <w:t>, 691) that Pd(PPh</w:t>
      </w:r>
      <w:r>
        <w:rPr>
          <w:noProof/>
          <w:vertAlign w:val="subscript"/>
        </w:rPr>
        <w:t>3</w:t>
      </w:r>
      <w:r>
        <w:rPr>
          <w:noProof/>
        </w:rPr>
        <w:t>)</w:t>
      </w:r>
      <w:r>
        <w:rPr>
          <w:noProof/>
          <w:vertAlign w:val="subscript"/>
        </w:rPr>
        <w:t>4</w:t>
      </w:r>
      <w:r>
        <w:rPr>
          <w:noProof/>
        </w:rPr>
        <w:t xml:space="preserve"> does serve as a catalyst for the following closely related reaction.</w:t>
      </w:r>
    </w:p>
    <w:p w14:paraId="7B5F5D6E" w14:textId="77777777" w:rsidR="00AD2259" w:rsidRDefault="00AD2259" w:rsidP="00AD2259">
      <w:pPr>
        <w:rPr>
          <w:noProof/>
        </w:rPr>
      </w:pPr>
    </w:p>
    <w:p w14:paraId="14904F5C" w14:textId="77777777" w:rsidR="00AD2259" w:rsidRDefault="00AD2259" w:rsidP="00AD2259">
      <w:pPr>
        <w:jc w:val="center"/>
      </w:pPr>
      <w:r>
        <w:object w:dxaOrig="10502" w:dyaOrig="1504" w14:anchorId="35B0E274">
          <v:shape id="_x0000_i1027" type="#_x0000_t75" style="width:369.75pt;height:53.25pt" o:ole="">
            <v:imagedata r:id="rId13" o:title=""/>
          </v:shape>
          <o:OLEObject Type="Embed" ProgID="ChemDraw.Document.6.0" ShapeID="_x0000_i1027" DrawAspect="Content" ObjectID="_1482301415" r:id="rId14"/>
        </w:object>
      </w:r>
    </w:p>
    <w:p w14:paraId="7F413357" w14:textId="77777777" w:rsidR="00AD2259" w:rsidRDefault="00AD2259" w:rsidP="00AD2259">
      <w:pPr>
        <w:ind w:left="720"/>
      </w:pPr>
    </w:p>
    <w:p w14:paraId="035B9648" w14:textId="01724239" w:rsidR="00AD2259" w:rsidRDefault="00AD2259" w:rsidP="00AD2259">
      <w:pPr>
        <w:ind w:left="720"/>
      </w:pPr>
      <w:r>
        <w:t xml:space="preserve">Why does </w:t>
      </w:r>
      <w:proofErr w:type="spellStart"/>
      <w:r>
        <w:t>triphenylphosphine</w:t>
      </w:r>
      <w:proofErr w:type="spellEnd"/>
      <w:r>
        <w:t xml:space="preserve"> work as a supporting ligand for this reaction but not for the one reported by Fu?</w:t>
      </w:r>
    </w:p>
    <w:p w14:paraId="3A44A8F0" w14:textId="77777777" w:rsidR="00CC05B9" w:rsidRDefault="00CC05B9" w:rsidP="00AD2259">
      <w:pPr>
        <w:ind w:left="720"/>
      </w:pPr>
    </w:p>
    <w:p w14:paraId="4121120F" w14:textId="77777777" w:rsidR="00CC05B9" w:rsidRDefault="00CC05B9" w:rsidP="00AD2259">
      <w:pPr>
        <w:ind w:left="720"/>
      </w:pPr>
    </w:p>
    <w:p w14:paraId="2CBEB160" w14:textId="77777777" w:rsidR="00CC05B9" w:rsidRDefault="00CC05B9" w:rsidP="00AD2259">
      <w:pPr>
        <w:ind w:left="720"/>
      </w:pPr>
    </w:p>
    <w:p w14:paraId="2AA7873E" w14:textId="77777777" w:rsidR="00CC05B9" w:rsidRDefault="00CC05B9" w:rsidP="00AD2259">
      <w:pPr>
        <w:ind w:left="720"/>
      </w:pPr>
    </w:p>
    <w:p w14:paraId="77FC276B" w14:textId="77777777" w:rsidR="00CC05B9" w:rsidRDefault="00CC05B9" w:rsidP="00AD2259">
      <w:pPr>
        <w:ind w:left="720"/>
      </w:pPr>
    </w:p>
    <w:p w14:paraId="1F81222B" w14:textId="77777777" w:rsidR="00CC05B9" w:rsidRDefault="00CC05B9" w:rsidP="00AD2259">
      <w:pPr>
        <w:ind w:left="720"/>
      </w:pPr>
    </w:p>
    <w:p w14:paraId="38088D7C" w14:textId="77777777" w:rsidR="00CC05B9" w:rsidRDefault="00CC05B9" w:rsidP="00AD2259">
      <w:pPr>
        <w:ind w:left="720"/>
      </w:pPr>
    </w:p>
    <w:p w14:paraId="6F78A671" w14:textId="38053164" w:rsidR="00AD2259" w:rsidRPr="00DF0348" w:rsidRDefault="00AD2259" w:rsidP="00AD2259">
      <w:pPr>
        <w:numPr>
          <w:ilvl w:val="0"/>
          <w:numId w:val="8"/>
        </w:numPr>
        <w:rPr>
          <w:noProof/>
        </w:rPr>
      </w:pPr>
      <w:r>
        <w:rPr>
          <w:noProof/>
        </w:rPr>
        <w:t xml:space="preserve">The amount of </w:t>
      </w:r>
      <w:r w:rsidRPr="00AE2378">
        <w:rPr>
          <w:b/>
          <w:i/>
          <w:noProof/>
        </w:rPr>
        <w:t>P1</w:t>
      </w:r>
      <w:r w:rsidRPr="00AE2378">
        <w:rPr>
          <w:b/>
          <w:noProof/>
        </w:rPr>
        <w:t xml:space="preserve"> </w:t>
      </w:r>
      <w:r>
        <w:rPr>
          <w:noProof/>
        </w:rPr>
        <w:t xml:space="preserve">(the coupled product) and </w:t>
      </w:r>
      <w:r w:rsidRPr="00AE2378">
        <w:rPr>
          <w:b/>
          <w:i/>
          <w:noProof/>
        </w:rPr>
        <w:t>P2</w:t>
      </w:r>
      <w:r>
        <w:rPr>
          <w:noProof/>
        </w:rPr>
        <w:t xml:space="preserve"> (effectively the elimination product from dodecyl bromide) varies quite a bit depending on the ligand used.  Based on the results shown above, draw the steps leading to formation of </w:t>
      </w:r>
      <w:r w:rsidRPr="00AE2378">
        <w:rPr>
          <w:b/>
          <w:i/>
          <w:noProof/>
        </w:rPr>
        <w:t>P2</w:t>
      </w:r>
      <w:r>
        <w:rPr>
          <w:noProof/>
        </w:rPr>
        <w:t xml:space="preserve"> (</w:t>
      </w:r>
      <w:r w:rsidRPr="00AE2378">
        <w:rPr>
          <w:i/>
          <w:noProof/>
        </w:rPr>
        <w:t>HINT</w:t>
      </w:r>
      <w:r>
        <w:rPr>
          <w:noProof/>
        </w:rPr>
        <w:t>: You do not need to invoke the organoboron reagent).</w:t>
      </w:r>
    </w:p>
    <w:p w14:paraId="02963AA2" w14:textId="77777777" w:rsidR="00AD2259" w:rsidRDefault="00AD2259" w:rsidP="00AD2259">
      <w:pPr>
        <w:rPr>
          <w:noProof/>
        </w:rPr>
      </w:pPr>
    </w:p>
    <w:p w14:paraId="58541CCF" w14:textId="77777777" w:rsidR="00AD2259" w:rsidRDefault="00AD2259" w:rsidP="00AD2259">
      <w:pPr>
        <w:rPr>
          <w:noProof/>
        </w:rPr>
      </w:pPr>
      <w:r>
        <w:rPr>
          <w:noProof/>
        </w:rPr>
        <w:br/>
      </w:r>
    </w:p>
    <w:p w14:paraId="2DE227BD" w14:textId="77777777" w:rsidR="00AD2259" w:rsidRDefault="00AD2259" w:rsidP="00AD2259">
      <w:pPr>
        <w:rPr>
          <w:noProof/>
        </w:rPr>
      </w:pPr>
    </w:p>
    <w:p w14:paraId="581B55C6" w14:textId="77777777" w:rsidR="00AD2259" w:rsidRDefault="00AD2259" w:rsidP="00AD2259">
      <w:pPr>
        <w:rPr>
          <w:noProof/>
        </w:rPr>
      </w:pPr>
    </w:p>
    <w:p w14:paraId="2BB67E26" w14:textId="77777777" w:rsidR="00AD2259" w:rsidRDefault="00AD2259" w:rsidP="00AD2259">
      <w:pPr>
        <w:rPr>
          <w:noProof/>
        </w:rPr>
      </w:pPr>
    </w:p>
    <w:p w14:paraId="13123CE4" w14:textId="77777777" w:rsidR="00AD2259" w:rsidRDefault="00AD2259" w:rsidP="00AD2259">
      <w:pPr>
        <w:rPr>
          <w:noProof/>
        </w:rPr>
      </w:pPr>
    </w:p>
    <w:p w14:paraId="3DB6BC70" w14:textId="77777777" w:rsidR="00AD2259" w:rsidRDefault="00AD2259" w:rsidP="00AD2259">
      <w:pPr>
        <w:rPr>
          <w:noProof/>
        </w:rPr>
      </w:pPr>
    </w:p>
    <w:p w14:paraId="2667E4B6" w14:textId="77777777" w:rsidR="00AD2259" w:rsidRDefault="00AD2259" w:rsidP="00AD2259">
      <w:pPr>
        <w:rPr>
          <w:noProof/>
        </w:rPr>
      </w:pPr>
    </w:p>
    <w:p w14:paraId="7ABDF3A7" w14:textId="77777777" w:rsidR="00AD2259" w:rsidRDefault="00AD2259" w:rsidP="00AD2259">
      <w:pPr>
        <w:numPr>
          <w:ilvl w:val="0"/>
          <w:numId w:val="8"/>
        </w:numPr>
        <w:rPr>
          <w:noProof/>
        </w:rPr>
      </w:pPr>
      <w:r>
        <w:t xml:space="preserve">Why does product </w:t>
      </w:r>
      <w:r w:rsidRPr="00AE2378">
        <w:rPr>
          <w:b/>
          <w:i/>
        </w:rPr>
        <w:t>P2</w:t>
      </w:r>
      <w:r>
        <w:t xml:space="preserve"> not form in Fu’s reaction when PPh</w:t>
      </w:r>
      <w:r w:rsidRPr="00AE2378">
        <w:rPr>
          <w:vertAlign w:val="subscript"/>
        </w:rPr>
        <w:t>3</w:t>
      </w:r>
      <w:r>
        <w:t xml:space="preserve"> is used?</w:t>
      </w:r>
    </w:p>
    <w:p w14:paraId="64395031" w14:textId="77777777" w:rsidR="00AD2259" w:rsidRDefault="00AD2259" w:rsidP="00AD2259"/>
    <w:p w14:paraId="05C651AE" w14:textId="77777777" w:rsidR="00AD2259" w:rsidRDefault="00AD2259" w:rsidP="00AD2259"/>
    <w:p w14:paraId="24382694" w14:textId="77777777" w:rsidR="00AD2259" w:rsidRDefault="00AD2259" w:rsidP="00AD2259"/>
    <w:p w14:paraId="3B289AED" w14:textId="77777777" w:rsidR="00CC05B9" w:rsidRDefault="00CC05B9" w:rsidP="00AD2259">
      <w:bookmarkStart w:id="0" w:name="_GoBack"/>
      <w:bookmarkEnd w:id="0"/>
    </w:p>
    <w:p w14:paraId="192CAF3E" w14:textId="77777777" w:rsidR="00AD2259" w:rsidRDefault="00AD2259" w:rsidP="00AD2259"/>
    <w:p w14:paraId="624BAF32" w14:textId="77777777" w:rsidR="00AD2259" w:rsidRDefault="00AD2259" w:rsidP="00AD2259"/>
    <w:p w14:paraId="0C8CEA8F" w14:textId="77777777" w:rsidR="00AD2259" w:rsidRPr="00CE0EA6" w:rsidRDefault="00AD2259" w:rsidP="00AD2259">
      <w:pPr>
        <w:rPr>
          <w:noProof/>
        </w:rPr>
      </w:pPr>
    </w:p>
    <w:p w14:paraId="150F17D0" w14:textId="77777777" w:rsidR="00AD2259" w:rsidRDefault="00AD2259" w:rsidP="00AD2259">
      <w:pPr>
        <w:numPr>
          <w:ilvl w:val="0"/>
          <w:numId w:val="8"/>
        </w:numPr>
        <w:rPr>
          <w:noProof/>
        </w:rPr>
      </w:pPr>
      <w:r>
        <w:rPr>
          <w:noProof/>
        </w:rPr>
        <w:t>Normally, larger ligands such as dppf and P(</w:t>
      </w:r>
      <w:r w:rsidRPr="00DF0348">
        <w:rPr>
          <w:i/>
          <w:noProof/>
        </w:rPr>
        <w:t>t</w:t>
      </w:r>
      <w:r>
        <w:rPr>
          <w:noProof/>
        </w:rPr>
        <w:t>-</w:t>
      </w:r>
      <w:r w:rsidRPr="00DF0348">
        <w:rPr>
          <w:noProof/>
        </w:rPr>
        <w:t>Bu</w:t>
      </w:r>
      <w:r>
        <w:rPr>
          <w:noProof/>
        </w:rPr>
        <w:t>)</w:t>
      </w:r>
      <w:r w:rsidRPr="00DF0348">
        <w:rPr>
          <w:noProof/>
          <w:vertAlign w:val="subscript"/>
        </w:rPr>
        <w:t>3</w:t>
      </w:r>
      <w:r>
        <w:rPr>
          <w:noProof/>
        </w:rPr>
        <w:t xml:space="preserve"> are more effective at preventing undesired reactions than slightly smaller ones like PCy</w:t>
      </w:r>
      <w:r>
        <w:rPr>
          <w:noProof/>
          <w:vertAlign w:val="subscript"/>
        </w:rPr>
        <w:t>3</w:t>
      </w:r>
      <w:r>
        <w:rPr>
          <w:noProof/>
        </w:rPr>
        <w:t xml:space="preserve"> due to enhanced rates of reductive elimination, but in this case large ligands lead to greater byproduct formation.  Why is this unusual effect observed (</w:t>
      </w:r>
      <w:r>
        <w:rPr>
          <w:i/>
          <w:noProof/>
        </w:rPr>
        <w:t>HINT</w:t>
      </w:r>
      <w:r>
        <w:rPr>
          <w:noProof/>
        </w:rPr>
        <w:t>: Think about which steps are helped and hindered by the presence of large ligands)?</w:t>
      </w:r>
    </w:p>
    <w:p w14:paraId="7F115250" w14:textId="77777777" w:rsidR="00AD2259" w:rsidRDefault="00AD2259" w:rsidP="00AD2259"/>
    <w:p w14:paraId="792C140C" w14:textId="00CA8F2E" w:rsidR="00BE4463" w:rsidRPr="00AD2259" w:rsidRDefault="00BE4463" w:rsidP="00AD2259"/>
    <w:sectPr w:rsidR="00BE4463" w:rsidRPr="00AD2259" w:rsidSect="00674883">
      <w:headerReference w:type="default" r:id="rId15"/>
      <w:pgSz w:w="12240" w:h="15840"/>
      <w:pgMar w:top="1620" w:right="1440" w:bottom="14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026A9" w14:textId="77777777" w:rsidR="007B5962" w:rsidRDefault="007B5962" w:rsidP="00674883">
      <w:r>
        <w:separator/>
      </w:r>
    </w:p>
  </w:endnote>
  <w:endnote w:type="continuationSeparator" w:id="0">
    <w:p w14:paraId="2569CED2" w14:textId="77777777" w:rsidR="007B5962" w:rsidRDefault="007B5962" w:rsidP="00674883">
      <w:r>
        <w:continuationSeparator/>
      </w:r>
    </w:p>
  </w:endnote>
  <w:endnote w:type="continuationNotice" w:id="1">
    <w:p w14:paraId="3D71EC4F" w14:textId="77777777" w:rsidR="007B5962" w:rsidRDefault="007B5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98B89" w14:textId="77777777" w:rsidR="007B5962" w:rsidRDefault="007B5962" w:rsidP="00674883">
      <w:r>
        <w:separator/>
      </w:r>
    </w:p>
  </w:footnote>
  <w:footnote w:type="continuationSeparator" w:id="0">
    <w:p w14:paraId="2BF6279C" w14:textId="77777777" w:rsidR="007B5962" w:rsidRDefault="007B5962" w:rsidP="00674883">
      <w:r>
        <w:continuationSeparator/>
      </w:r>
    </w:p>
  </w:footnote>
  <w:footnote w:type="continuationNotice" w:id="1">
    <w:p w14:paraId="305F7F7A" w14:textId="77777777" w:rsidR="007B5962" w:rsidRDefault="007B59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9FC55" w14:textId="0EE5B27F" w:rsidR="00BE4463" w:rsidRDefault="00BE4463" w:rsidP="00BE4463">
    <w:pPr>
      <w:pStyle w:val="Header"/>
      <w:rPr>
        <w:sz w:val="20"/>
      </w:rPr>
    </w:pPr>
    <w:r w:rsidRPr="002C7185">
      <w:rPr>
        <w:sz w:val="20"/>
      </w:rPr>
      <w:t xml:space="preserve">Created by </w:t>
    </w:r>
    <w:r>
      <w:rPr>
        <w:sz w:val="20"/>
      </w:rPr>
      <w:t>Matthew T. Whited, Carleton College, mwhited@carleton.edu</w:t>
    </w:r>
    <w:r w:rsidRPr="002C7185">
      <w:rPr>
        <w:sz w:val="20"/>
      </w:rPr>
      <w:t xml:space="preserve"> and posted on </w:t>
    </w:r>
    <w:proofErr w:type="spellStart"/>
    <w:r w:rsidRPr="002C7185">
      <w:rPr>
        <w:sz w:val="20"/>
      </w:rPr>
      <w:t>VIPEr</w:t>
    </w:r>
    <w:proofErr w:type="spellEnd"/>
    <w:r w:rsidRPr="002C7185">
      <w:rPr>
        <w:sz w:val="20"/>
      </w:rPr>
      <w:t xml:space="preserve"> on </w:t>
    </w:r>
    <w:r w:rsidR="00CC05B9">
      <w:rPr>
        <w:sz w:val="20"/>
      </w:rPr>
      <w:t>January 9</w:t>
    </w:r>
    <w:r>
      <w:rPr>
        <w:sz w:val="20"/>
      </w:rPr>
      <w:t>, 201</w:t>
    </w:r>
    <w:r w:rsidR="00CC05B9">
      <w:rPr>
        <w:sz w:val="20"/>
      </w:rPr>
      <w:t>5</w:t>
    </w:r>
    <w:r w:rsidRPr="002C7185">
      <w:rPr>
        <w:sz w:val="20"/>
      </w:rPr>
      <w:t xml:space="preserve">, Copyright </w:t>
    </w:r>
    <w:r>
      <w:rPr>
        <w:sz w:val="20"/>
      </w:rPr>
      <w:t>Matthew T. Whited, 201</w:t>
    </w:r>
    <w:r w:rsidR="00CC05B9">
      <w:rPr>
        <w:sz w:val="20"/>
      </w:rPr>
      <w:t>5</w:t>
    </w:r>
    <w:r w:rsidRPr="002C7185">
      <w:rPr>
        <w:sz w:val="20"/>
      </w:rPr>
      <w:t>. This work is licensed under the Creative Commons Attribution-</w:t>
    </w:r>
    <w:proofErr w:type="spellStart"/>
    <w:r w:rsidRPr="002C7185">
      <w:rPr>
        <w:sz w:val="20"/>
      </w:rPr>
      <w:t>NonCommercial</w:t>
    </w:r>
    <w:proofErr w:type="spellEnd"/>
    <w:r w:rsidRPr="002C7185">
      <w:rPr>
        <w:sz w:val="20"/>
      </w:rPr>
      <w:t>-</w:t>
    </w:r>
    <w:proofErr w:type="spellStart"/>
    <w:r w:rsidRPr="002C7185">
      <w:rPr>
        <w:sz w:val="20"/>
      </w:rPr>
      <w:t>ShareAlike</w:t>
    </w:r>
    <w:proofErr w:type="spellEnd"/>
    <w:r w:rsidRPr="002C7185">
      <w:rPr>
        <w:sz w:val="20"/>
      </w:rPr>
      <w:t xml:space="preserve"> License. To view a copy of this license visit </w:t>
    </w:r>
    <w:hyperlink r:id="rId1" w:history="1">
      <w:r w:rsidRPr="000D2A61">
        <w:rPr>
          <w:rStyle w:val="Hyperlink"/>
          <w:sz w:val="20"/>
        </w:rPr>
        <w:t>http://creativecommons.org/about/license/</w:t>
      </w:r>
    </w:hyperlink>
  </w:p>
  <w:p w14:paraId="392218FA" w14:textId="77777777" w:rsidR="002F6998" w:rsidRPr="00BE4463" w:rsidRDefault="002F6998" w:rsidP="00BE44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F23BC"/>
    <w:multiLevelType w:val="hybridMultilevel"/>
    <w:tmpl w:val="5CBAA5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536A6C"/>
    <w:multiLevelType w:val="hybridMultilevel"/>
    <w:tmpl w:val="9E42D9BE"/>
    <w:lvl w:ilvl="0" w:tplc="F76A53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FA4867"/>
    <w:multiLevelType w:val="hybridMultilevel"/>
    <w:tmpl w:val="314CBFCA"/>
    <w:lvl w:ilvl="0" w:tplc="04090011">
      <w:start w:val="1"/>
      <w:numFmt w:val="decimal"/>
      <w:lvlText w:val="%1)"/>
      <w:lvlJc w:val="left"/>
      <w:pPr>
        <w:ind w:left="810" w:hanging="360"/>
      </w:pPr>
      <w:rPr>
        <w:rFonts w:hint="default"/>
      </w:rPr>
    </w:lvl>
    <w:lvl w:ilvl="1" w:tplc="F7680754">
      <w:start w:val="1"/>
      <w:numFmt w:val="lowerLetter"/>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588832C3"/>
    <w:multiLevelType w:val="hybridMultilevel"/>
    <w:tmpl w:val="92F67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AD0A38"/>
    <w:multiLevelType w:val="hybridMultilevel"/>
    <w:tmpl w:val="7ABAA8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5102756"/>
    <w:multiLevelType w:val="hybridMultilevel"/>
    <w:tmpl w:val="152CB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29472D"/>
    <w:multiLevelType w:val="hybridMultilevel"/>
    <w:tmpl w:val="A6F21354"/>
    <w:lvl w:ilvl="0" w:tplc="F76807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CF929AD"/>
    <w:multiLevelType w:val="hybridMultilevel"/>
    <w:tmpl w:val="9788DD36"/>
    <w:lvl w:ilvl="0" w:tplc="5A5E55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7"/>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83"/>
    <w:rsid w:val="00007175"/>
    <w:rsid w:val="000138F1"/>
    <w:rsid w:val="0004029A"/>
    <w:rsid w:val="00047164"/>
    <w:rsid w:val="00052192"/>
    <w:rsid w:val="000B3E25"/>
    <w:rsid w:val="000C31A2"/>
    <w:rsid w:val="000D0DD5"/>
    <w:rsid w:val="00102502"/>
    <w:rsid w:val="00131B88"/>
    <w:rsid w:val="00155542"/>
    <w:rsid w:val="0017004B"/>
    <w:rsid w:val="001A2A2E"/>
    <w:rsid w:val="001B3121"/>
    <w:rsid w:val="001C5BF9"/>
    <w:rsid w:val="001D0C07"/>
    <w:rsid w:val="001E12C4"/>
    <w:rsid w:val="0022556B"/>
    <w:rsid w:val="00262737"/>
    <w:rsid w:val="002E64A6"/>
    <w:rsid w:val="002F0D5E"/>
    <w:rsid w:val="002F6998"/>
    <w:rsid w:val="00312AEB"/>
    <w:rsid w:val="003547FA"/>
    <w:rsid w:val="0036408F"/>
    <w:rsid w:val="00380782"/>
    <w:rsid w:val="003829C5"/>
    <w:rsid w:val="003A3EDA"/>
    <w:rsid w:val="003D00B3"/>
    <w:rsid w:val="003F5248"/>
    <w:rsid w:val="0041252C"/>
    <w:rsid w:val="004127E9"/>
    <w:rsid w:val="0042430B"/>
    <w:rsid w:val="00432BDF"/>
    <w:rsid w:val="00444E1C"/>
    <w:rsid w:val="00445345"/>
    <w:rsid w:val="004724C6"/>
    <w:rsid w:val="004738C9"/>
    <w:rsid w:val="00480D50"/>
    <w:rsid w:val="005536F1"/>
    <w:rsid w:val="00585D8A"/>
    <w:rsid w:val="005E02C0"/>
    <w:rsid w:val="005E1226"/>
    <w:rsid w:val="005F2D26"/>
    <w:rsid w:val="006128AD"/>
    <w:rsid w:val="00641866"/>
    <w:rsid w:val="006431D3"/>
    <w:rsid w:val="00655FD9"/>
    <w:rsid w:val="00665394"/>
    <w:rsid w:val="00674883"/>
    <w:rsid w:val="00676D0B"/>
    <w:rsid w:val="006804F2"/>
    <w:rsid w:val="00687B4F"/>
    <w:rsid w:val="00695C7A"/>
    <w:rsid w:val="006B2BB5"/>
    <w:rsid w:val="00707708"/>
    <w:rsid w:val="00716A15"/>
    <w:rsid w:val="007203F8"/>
    <w:rsid w:val="00726DEE"/>
    <w:rsid w:val="007504DA"/>
    <w:rsid w:val="0075236D"/>
    <w:rsid w:val="007A2856"/>
    <w:rsid w:val="007A3B70"/>
    <w:rsid w:val="007B1A9D"/>
    <w:rsid w:val="007B1E85"/>
    <w:rsid w:val="007B5962"/>
    <w:rsid w:val="007E0D2C"/>
    <w:rsid w:val="007E7122"/>
    <w:rsid w:val="00854908"/>
    <w:rsid w:val="00861480"/>
    <w:rsid w:val="00871EE5"/>
    <w:rsid w:val="00887A81"/>
    <w:rsid w:val="008932AF"/>
    <w:rsid w:val="00893FA2"/>
    <w:rsid w:val="00896CD0"/>
    <w:rsid w:val="008B488A"/>
    <w:rsid w:val="008C77EF"/>
    <w:rsid w:val="008D138D"/>
    <w:rsid w:val="008D2B8C"/>
    <w:rsid w:val="008D5EAF"/>
    <w:rsid w:val="008F1DBE"/>
    <w:rsid w:val="008F6B17"/>
    <w:rsid w:val="0092493B"/>
    <w:rsid w:val="009311C7"/>
    <w:rsid w:val="00931B55"/>
    <w:rsid w:val="0094722D"/>
    <w:rsid w:val="009612F4"/>
    <w:rsid w:val="009713F9"/>
    <w:rsid w:val="009717C1"/>
    <w:rsid w:val="00992022"/>
    <w:rsid w:val="00993510"/>
    <w:rsid w:val="009B5426"/>
    <w:rsid w:val="009C3EEB"/>
    <w:rsid w:val="009D5F4A"/>
    <w:rsid w:val="00AB103E"/>
    <w:rsid w:val="00AB307F"/>
    <w:rsid w:val="00AC12BB"/>
    <w:rsid w:val="00AC58E7"/>
    <w:rsid w:val="00AD2259"/>
    <w:rsid w:val="00AD6F12"/>
    <w:rsid w:val="00AE7B37"/>
    <w:rsid w:val="00B165E7"/>
    <w:rsid w:val="00B21A76"/>
    <w:rsid w:val="00B31AB6"/>
    <w:rsid w:val="00B84F1E"/>
    <w:rsid w:val="00BA3E2C"/>
    <w:rsid w:val="00BE4463"/>
    <w:rsid w:val="00BF03DE"/>
    <w:rsid w:val="00BF77EA"/>
    <w:rsid w:val="00C334F9"/>
    <w:rsid w:val="00C50C80"/>
    <w:rsid w:val="00C56CCD"/>
    <w:rsid w:val="00C6749F"/>
    <w:rsid w:val="00C801CB"/>
    <w:rsid w:val="00C8412D"/>
    <w:rsid w:val="00C9347B"/>
    <w:rsid w:val="00C9740C"/>
    <w:rsid w:val="00CA1195"/>
    <w:rsid w:val="00CA66BD"/>
    <w:rsid w:val="00CB4183"/>
    <w:rsid w:val="00CB7CBB"/>
    <w:rsid w:val="00CC05B9"/>
    <w:rsid w:val="00CE0A2A"/>
    <w:rsid w:val="00CE7962"/>
    <w:rsid w:val="00CF487F"/>
    <w:rsid w:val="00D06B70"/>
    <w:rsid w:val="00D10C45"/>
    <w:rsid w:val="00D213EF"/>
    <w:rsid w:val="00D607BA"/>
    <w:rsid w:val="00D80622"/>
    <w:rsid w:val="00D8528F"/>
    <w:rsid w:val="00D90246"/>
    <w:rsid w:val="00DA69FC"/>
    <w:rsid w:val="00DC22D2"/>
    <w:rsid w:val="00DD59B2"/>
    <w:rsid w:val="00DF0A8D"/>
    <w:rsid w:val="00DF6508"/>
    <w:rsid w:val="00E12C83"/>
    <w:rsid w:val="00E15E4E"/>
    <w:rsid w:val="00E23E0D"/>
    <w:rsid w:val="00E2421F"/>
    <w:rsid w:val="00E314CB"/>
    <w:rsid w:val="00E96406"/>
    <w:rsid w:val="00EB33BA"/>
    <w:rsid w:val="00ED2731"/>
    <w:rsid w:val="00EF132F"/>
    <w:rsid w:val="00F10579"/>
    <w:rsid w:val="00F13BA5"/>
    <w:rsid w:val="00F23DF1"/>
    <w:rsid w:val="00F67B5B"/>
    <w:rsid w:val="00F842F1"/>
    <w:rsid w:val="00FC65E3"/>
    <w:rsid w:val="00FF04BF"/>
    <w:rsid w:val="00FF0C46"/>
    <w:rsid w:val="00FF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1D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883"/>
    <w:pPr>
      <w:tabs>
        <w:tab w:val="center" w:pos="4680"/>
        <w:tab w:val="right" w:pos="9360"/>
      </w:tabs>
    </w:pPr>
  </w:style>
  <w:style w:type="character" w:customStyle="1" w:styleId="HeaderChar">
    <w:name w:val="Header Char"/>
    <w:basedOn w:val="DefaultParagraphFont"/>
    <w:link w:val="Header"/>
    <w:uiPriority w:val="99"/>
    <w:rsid w:val="00674883"/>
  </w:style>
  <w:style w:type="paragraph" w:styleId="Footer">
    <w:name w:val="footer"/>
    <w:basedOn w:val="Normal"/>
    <w:link w:val="FooterChar"/>
    <w:uiPriority w:val="99"/>
    <w:unhideWhenUsed/>
    <w:rsid w:val="00674883"/>
    <w:pPr>
      <w:tabs>
        <w:tab w:val="center" w:pos="4680"/>
        <w:tab w:val="right" w:pos="9360"/>
      </w:tabs>
    </w:pPr>
  </w:style>
  <w:style w:type="character" w:customStyle="1" w:styleId="FooterChar">
    <w:name w:val="Footer Char"/>
    <w:basedOn w:val="DefaultParagraphFont"/>
    <w:link w:val="Footer"/>
    <w:uiPriority w:val="99"/>
    <w:rsid w:val="00674883"/>
  </w:style>
  <w:style w:type="paragraph" w:styleId="ListParagraph">
    <w:name w:val="List Paragraph"/>
    <w:basedOn w:val="Normal"/>
    <w:uiPriority w:val="34"/>
    <w:qFormat/>
    <w:rsid w:val="00674883"/>
    <w:pPr>
      <w:ind w:left="720"/>
      <w:contextualSpacing/>
    </w:pPr>
  </w:style>
  <w:style w:type="table" w:styleId="TableGrid">
    <w:name w:val="Table Grid"/>
    <w:basedOn w:val="TableNormal"/>
    <w:uiPriority w:val="59"/>
    <w:rsid w:val="00412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347B"/>
    <w:rPr>
      <w:rFonts w:ascii="Tahoma" w:hAnsi="Tahoma" w:cs="Tahoma"/>
      <w:sz w:val="16"/>
      <w:szCs w:val="16"/>
    </w:rPr>
  </w:style>
  <w:style w:type="character" w:customStyle="1" w:styleId="BalloonTextChar">
    <w:name w:val="Balloon Text Char"/>
    <w:basedOn w:val="DefaultParagraphFont"/>
    <w:link w:val="BalloonText"/>
    <w:uiPriority w:val="99"/>
    <w:semiHidden/>
    <w:rsid w:val="00C9347B"/>
    <w:rPr>
      <w:rFonts w:ascii="Tahoma" w:hAnsi="Tahoma" w:cs="Tahoma"/>
      <w:sz w:val="16"/>
      <w:szCs w:val="16"/>
    </w:rPr>
  </w:style>
  <w:style w:type="character" w:styleId="Hyperlink">
    <w:name w:val="Hyperlink"/>
    <w:basedOn w:val="DefaultParagraphFont"/>
    <w:uiPriority w:val="99"/>
    <w:unhideWhenUsed/>
    <w:rsid w:val="009472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1D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883"/>
    <w:pPr>
      <w:tabs>
        <w:tab w:val="center" w:pos="4680"/>
        <w:tab w:val="right" w:pos="9360"/>
      </w:tabs>
    </w:pPr>
  </w:style>
  <w:style w:type="character" w:customStyle="1" w:styleId="HeaderChar">
    <w:name w:val="Header Char"/>
    <w:basedOn w:val="DefaultParagraphFont"/>
    <w:link w:val="Header"/>
    <w:uiPriority w:val="99"/>
    <w:rsid w:val="00674883"/>
  </w:style>
  <w:style w:type="paragraph" w:styleId="Footer">
    <w:name w:val="footer"/>
    <w:basedOn w:val="Normal"/>
    <w:link w:val="FooterChar"/>
    <w:uiPriority w:val="99"/>
    <w:unhideWhenUsed/>
    <w:rsid w:val="00674883"/>
    <w:pPr>
      <w:tabs>
        <w:tab w:val="center" w:pos="4680"/>
        <w:tab w:val="right" w:pos="9360"/>
      </w:tabs>
    </w:pPr>
  </w:style>
  <w:style w:type="character" w:customStyle="1" w:styleId="FooterChar">
    <w:name w:val="Footer Char"/>
    <w:basedOn w:val="DefaultParagraphFont"/>
    <w:link w:val="Footer"/>
    <w:uiPriority w:val="99"/>
    <w:rsid w:val="00674883"/>
  </w:style>
  <w:style w:type="paragraph" w:styleId="ListParagraph">
    <w:name w:val="List Paragraph"/>
    <w:basedOn w:val="Normal"/>
    <w:uiPriority w:val="34"/>
    <w:qFormat/>
    <w:rsid w:val="00674883"/>
    <w:pPr>
      <w:ind w:left="720"/>
      <w:contextualSpacing/>
    </w:pPr>
  </w:style>
  <w:style w:type="table" w:styleId="TableGrid">
    <w:name w:val="Table Grid"/>
    <w:basedOn w:val="TableNormal"/>
    <w:uiPriority w:val="59"/>
    <w:rsid w:val="00412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347B"/>
    <w:rPr>
      <w:rFonts w:ascii="Tahoma" w:hAnsi="Tahoma" w:cs="Tahoma"/>
      <w:sz w:val="16"/>
      <w:szCs w:val="16"/>
    </w:rPr>
  </w:style>
  <w:style w:type="character" w:customStyle="1" w:styleId="BalloonTextChar">
    <w:name w:val="Balloon Text Char"/>
    <w:basedOn w:val="DefaultParagraphFont"/>
    <w:link w:val="BalloonText"/>
    <w:uiPriority w:val="99"/>
    <w:semiHidden/>
    <w:rsid w:val="00C9347B"/>
    <w:rPr>
      <w:rFonts w:ascii="Tahoma" w:hAnsi="Tahoma" w:cs="Tahoma"/>
      <w:sz w:val="16"/>
      <w:szCs w:val="16"/>
    </w:rPr>
  </w:style>
  <w:style w:type="character" w:styleId="Hyperlink">
    <w:name w:val="Hyperlink"/>
    <w:basedOn w:val="DefaultParagraphFont"/>
    <w:uiPriority w:val="99"/>
    <w:unhideWhenUsed/>
    <w:rsid w:val="00947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940140">
      <w:bodyDiv w:val="1"/>
      <w:marLeft w:val="0"/>
      <w:marRight w:val="0"/>
      <w:marTop w:val="0"/>
      <w:marBottom w:val="0"/>
      <w:divBdr>
        <w:top w:val="none" w:sz="0" w:space="0" w:color="auto"/>
        <w:left w:val="none" w:sz="0" w:space="0" w:color="auto"/>
        <w:bottom w:val="none" w:sz="0" w:space="0" w:color="auto"/>
        <w:right w:val="none" w:sz="0" w:space="0" w:color="auto"/>
      </w:divBdr>
    </w:div>
    <w:div w:id="211898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53076-A99C-446B-B3E7-A4671B8D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Carleton College</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Whited</dc:creator>
  <cp:lastModifiedBy>Matt Whited</cp:lastModifiedBy>
  <cp:revision>3</cp:revision>
  <cp:lastPrinted>2013-04-18T12:46:00Z</cp:lastPrinted>
  <dcterms:created xsi:type="dcterms:W3CDTF">2015-01-09T15:32:00Z</dcterms:created>
  <dcterms:modified xsi:type="dcterms:W3CDTF">2015-01-09T15:37:00Z</dcterms:modified>
</cp:coreProperties>
</file>