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D1" w:rsidRPr="0031495A" w:rsidRDefault="0031495A" w:rsidP="001D1ED1">
      <w:pPr>
        <w:rPr>
          <w:b/>
        </w:rPr>
      </w:pPr>
      <w:r>
        <w:rPr>
          <w:b/>
        </w:rPr>
        <w:t>Diverting Wilkinson's Catalyst: Critical Analysis of a Literature Paper</w:t>
      </w:r>
    </w:p>
    <w:p w:rsidR="00BD2AEE" w:rsidRPr="00BD2AEE" w:rsidRDefault="00BD2AEE" w:rsidP="000D0583">
      <w:r>
        <w:t xml:space="preserve">Wilkinson’s catalyst is arguably the oldest and best studied homogeneous organometallic catalyst, which might make you think we already know everything about its behavior.  However, </w:t>
      </w:r>
      <w:proofErr w:type="spellStart"/>
      <w:r>
        <w:t>Perea-Buceta</w:t>
      </w:r>
      <w:proofErr w:type="spellEnd"/>
      <w:r>
        <w:t xml:space="preserve"> </w:t>
      </w:r>
      <w:r>
        <w:rPr>
          <w:i/>
        </w:rPr>
        <w:t>et al.</w:t>
      </w:r>
      <w:r>
        <w:t xml:space="preserve"> recently published an interesting paper (</w:t>
      </w:r>
      <w:proofErr w:type="spellStart"/>
      <w:r>
        <w:rPr>
          <w:i/>
        </w:rPr>
        <w:t>Angew</w:t>
      </w:r>
      <w:proofErr w:type="spellEnd"/>
      <w:r>
        <w:rPr>
          <w:i/>
        </w:rPr>
        <w:t>. Chem. Int. Ed.</w:t>
      </w:r>
      <w:r>
        <w:t xml:space="preserve"> </w:t>
      </w:r>
      <w:r>
        <w:rPr>
          <w:b/>
        </w:rPr>
        <w:t>201</w:t>
      </w:r>
      <w:r w:rsidR="00D5751C">
        <w:rPr>
          <w:b/>
        </w:rPr>
        <w:t>5</w:t>
      </w:r>
      <w:r>
        <w:t>, 14321) showing that certain nitrogen bases will divert Wilkinson’s catalyst into a much more reactive form.  Read their paper (attached) and answer the following questions.</w:t>
      </w:r>
    </w:p>
    <w:p w:rsidR="00A02C21" w:rsidRDefault="00A02C21" w:rsidP="001C5048">
      <w:pPr>
        <w:pStyle w:val="ListParagraph"/>
        <w:numPr>
          <w:ilvl w:val="0"/>
          <w:numId w:val="1"/>
        </w:numPr>
      </w:pPr>
      <w:r>
        <w:t>In Table 1, we see several studies on the effect of added base on hydrogenation of an internal alkyne by Wilkinson’s catalyst.  There’s a lot we can learn from this table.  Specifically:</w:t>
      </w:r>
    </w:p>
    <w:p w:rsidR="00A02C21" w:rsidRDefault="00A02C21" w:rsidP="00A02C21">
      <w:pPr>
        <w:pStyle w:val="ListParagraph"/>
        <w:numPr>
          <w:ilvl w:val="1"/>
          <w:numId w:val="1"/>
        </w:numPr>
      </w:pPr>
      <w:r>
        <w:t xml:space="preserve">Start by drawing Lewis structures for TMP, </w:t>
      </w:r>
      <w:proofErr w:type="spellStart"/>
      <w:r>
        <w:t>PhTMP</w:t>
      </w:r>
      <w:proofErr w:type="spellEnd"/>
      <w:r>
        <w:t>, and TMG, which are not drawn in the paper.</w:t>
      </w:r>
    </w:p>
    <w:p w:rsidR="007541A3" w:rsidRDefault="007541A3" w:rsidP="00A02C21">
      <w:pPr>
        <w:pStyle w:val="ListParagraph"/>
        <w:numPr>
          <w:ilvl w:val="1"/>
          <w:numId w:val="1"/>
        </w:numPr>
      </w:pPr>
      <w:r>
        <w:t xml:space="preserve">The authors claim that the base plays a </w:t>
      </w:r>
      <w:proofErr w:type="spellStart"/>
      <w:r>
        <w:t>Brønsted</w:t>
      </w:r>
      <w:proofErr w:type="spellEnd"/>
      <w:r>
        <w:t xml:space="preserve"> </w:t>
      </w:r>
      <w:r>
        <w:t>role</w:t>
      </w:r>
      <w:r>
        <w:t xml:space="preserve"> (deprotonating Rh–H)</w:t>
      </w:r>
      <w:r>
        <w:t xml:space="preserve"> rather than a Lewis role (coordinating to Rh).  What information in this table (and </w:t>
      </w:r>
      <w:proofErr w:type="spellStart"/>
      <w:r>
        <w:t>pK</w:t>
      </w:r>
      <w:r>
        <w:rPr>
          <w:vertAlign w:val="subscript"/>
        </w:rPr>
        <w:t>a</w:t>
      </w:r>
      <w:proofErr w:type="spellEnd"/>
      <w:r>
        <w:t xml:space="preserve"> information given in the text) supports this conclusion?</w:t>
      </w:r>
    </w:p>
    <w:p w:rsidR="00A02C21" w:rsidRDefault="005350B6" w:rsidP="00A02C21">
      <w:pPr>
        <w:pStyle w:val="ListParagraph"/>
        <w:numPr>
          <w:ilvl w:val="1"/>
          <w:numId w:val="1"/>
        </w:numPr>
      </w:pPr>
      <w:r>
        <w:t xml:space="preserve">Every set of conditions gives significantly more </w:t>
      </w:r>
      <w:r>
        <w:rPr>
          <w:i/>
        </w:rPr>
        <w:t>Z</w:t>
      </w:r>
      <w:r>
        <w:t xml:space="preserve"> alkene than </w:t>
      </w:r>
      <w:r>
        <w:rPr>
          <w:i/>
        </w:rPr>
        <w:t>E</w:t>
      </w:r>
      <w:r>
        <w:t xml:space="preserve">.  Is this a kinetic or thermodynamic phenomenon?  If kinetic, then how does the mechanism favor </w:t>
      </w:r>
      <w:r>
        <w:rPr>
          <w:i/>
        </w:rPr>
        <w:t>Z</w:t>
      </w:r>
      <w:r>
        <w:t xml:space="preserve"> alkene?</w:t>
      </w:r>
    </w:p>
    <w:p w:rsidR="005350B6" w:rsidRDefault="005350B6" w:rsidP="00A02C21">
      <w:pPr>
        <w:pStyle w:val="ListParagraph"/>
        <w:numPr>
          <w:ilvl w:val="1"/>
          <w:numId w:val="1"/>
        </w:numPr>
      </w:pPr>
      <w:r>
        <w:t>Entry 6 seems to be an outlier, in that it is the only case where added base significantly hurts the reaction.  Propose a reason why this might be the case.</w:t>
      </w:r>
    </w:p>
    <w:p w:rsidR="005350B6" w:rsidRDefault="005350B6" w:rsidP="005350B6"/>
    <w:p w:rsidR="00980689" w:rsidRDefault="00051DDD" w:rsidP="001C5048">
      <w:pPr>
        <w:pStyle w:val="ListParagraph"/>
        <w:numPr>
          <w:ilvl w:val="0"/>
          <w:numId w:val="1"/>
        </w:numPr>
      </w:pPr>
      <w:r>
        <w:t>Examine Table 2, wh</w:t>
      </w:r>
      <w:r w:rsidR="007A5FEE">
        <w:t xml:space="preserve">ich expands the substrate scope.  In general, we see that addition of </w:t>
      </w:r>
      <w:r w:rsidR="007A5FEE">
        <w:rPr>
          <w:b/>
        </w:rPr>
        <w:t>12</w:t>
      </w:r>
      <w:r w:rsidR="007A5FEE">
        <w:t xml:space="preserve"> leads to significantly higher yields of the fully hydrogenated product, but there are some exceptions:</w:t>
      </w:r>
    </w:p>
    <w:p w:rsidR="007A5FEE" w:rsidRDefault="007A5FEE" w:rsidP="007A5FEE">
      <w:pPr>
        <w:pStyle w:val="ListParagraph"/>
        <w:numPr>
          <w:ilvl w:val="1"/>
          <w:numId w:val="1"/>
        </w:numPr>
      </w:pPr>
      <w:r>
        <w:t xml:space="preserve">For substrate </w:t>
      </w:r>
      <w:r>
        <w:rPr>
          <w:b/>
        </w:rPr>
        <w:t>2d</w:t>
      </w:r>
      <w:r>
        <w:t xml:space="preserve">, why is a good yield obtained in the absence of base (unlike </w:t>
      </w:r>
      <w:r>
        <w:rPr>
          <w:b/>
        </w:rPr>
        <w:t>2a</w:t>
      </w:r>
      <w:r>
        <w:t>–</w:t>
      </w:r>
      <w:r>
        <w:rPr>
          <w:b/>
        </w:rPr>
        <w:t>2c</w:t>
      </w:r>
      <w:r>
        <w:t xml:space="preserve">) but a terrible yield is obtained in the presence of </w:t>
      </w:r>
      <w:r>
        <w:rPr>
          <w:b/>
        </w:rPr>
        <w:t>12</w:t>
      </w:r>
      <w:r>
        <w:t>?</w:t>
      </w:r>
    </w:p>
    <w:p w:rsidR="007A5FEE" w:rsidRDefault="007A5FEE" w:rsidP="007A5FEE">
      <w:pPr>
        <w:pStyle w:val="ListParagraph"/>
        <w:numPr>
          <w:ilvl w:val="1"/>
          <w:numId w:val="1"/>
        </w:numPr>
      </w:pPr>
      <w:r>
        <w:t xml:space="preserve">Explain why similar yields are obtained for substrate </w:t>
      </w:r>
      <w:r>
        <w:rPr>
          <w:b/>
        </w:rPr>
        <w:t>2e</w:t>
      </w:r>
      <w:r>
        <w:t xml:space="preserve"> with and without base but </w:t>
      </w:r>
      <w:r>
        <w:rPr>
          <w:b/>
        </w:rPr>
        <w:t>2f</w:t>
      </w:r>
      <w:r>
        <w:t xml:space="preserve"> shows a sharp divergence.</w:t>
      </w:r>
    </w:p>
    <w:p w:rsidR="007A5FEE" w:rsidRDefault="007A5FEE" w:rsidP="007A5FEE"/>
    <w:p w:rsidR="00C0766F" w:rsidRDefault="00C0766F">
      <w:r>
        <w:br w:type="page"/>
      </w:r>
    </w:p>
    <w:p w:rsidR="001961BA" w:rsidRDefault="001961BA" w:rsidP="001961BA">
      <w:pPr>
        <w:pStyle w:val="ListParagraph"/>
        <w:numPr>
          <w:ilvl w:val="0"/>
          <w:numId w:val="1"/>
        </w:numPr>
      </w:pPr>
      <w:r>
        <w:lastRenderedPageBreak/>
        <w:t>Figure 1 details some cool NMR studies showing the reaction of Wilkinson's catalyst with H</w:t>
      </w:r>
      <w:r>
        <w:rPr>
          <w:vertAlign w:val="subscript"/>
        </w:rPr>
        <w:t>2</w:t>
      </w:r>
      <w:r>
        <w:t xml:space="preserve"> and subsequent reaction with </w:t>
      </w:r>
      <w:r>
        <w:rPr>
          <w:b/>
        </w:rPr>
        <w:t>12</w:t>
      </w:r>
      <w:r>
        <w:t xml:space="preserve">.  Carefully analyze these spectra (note that larger and clearer versions are available in the supporting information: </w:t>
      </w:r>
      <w:hyperlink r:id="rId8" w:history="1">
        <w:r w:rsidRPr="00123F40">
          <w:rPr>
            <w:rStyle w:val="Hyperlink"/>
          </w:rPr>
          <w:t>http://onlinelibrary.wiley.com/store/10.1002/anie.201506216/asset/supinfo/anie_201506216_sm_miscellaneous_information.pdf?v=1&amp;s=6b549d9feb2306496016a4fc1f611fa10086cfe4</w:t>
        </w:r>
      </w:hyperlink>
      <w:r>
        <w:t>), showing how they are consistent with the assignments by answering the following questions:</w:t>
      </w:r>
    </w:p>
    <w:p w:rsidR="001961BA" w:rsidRDefault="00212DBC" w:rsidP="001961BA">
      <w:pPr>
        <w:pStyle w:val="ListParagraph"/>
        <w:numPr>
          <w:ilvl w:val="1"/>
          <w:numId w:val="1"/>
        </w:numPr>
      </w:pPr>
      <w:r>
        <w:rPr>
          <w:vertAlign w:val="superscript"/>
        </w:rPr>
        <w:t>1</w:t>
      </w:r>
      <w:r>
        <w:t xml:space="preserve">H and </w:t>
      </w:r>
      <w:r>
        <w:rPr>
          <w:vertAlign w:val="superscript"/>
        </w:rPr>
        <w:t>31</w:t>
      </w:r>
      <w:r>
        <w:t xml:space="preserve">P NMR spectra of complex </w:t>
      </w:r>
      <w:r>
        <w:rPr>
          <w:b/>
        </w:rPr>
        <w:t>14</w:t>
      </w:r>
      <w:r>
        <w:t xml:space="preserve"> are </w:t>
      </w:r>
      <w:r w:rsidR="006061A2">
        <w:t>presented in Figure 1a and 1b</w:t>
      </w:r>
      <w:r>
        <w:t xml:space="preserve">.  Why do we see three peaks for Rh–H and three peaks for Rh–P when there are only </w:t>
      </w:r>
      <w:r w:rsidR="006061A2">
        <w:t>two</w:t>
      </w:r>
      <w:r>
        <w:t xml:space="preserve"> hydrides and </w:t>
      </w:r>
      <w:r w:rsidR="006061A2">
        <w:t>two</w:t>
      </w:r>
      <w:r>
        <w:t xml:space="preserve"> distinct phosphine environments?</w:t>
      </w:r>
    </w:p>
    <w:p w:rsidR="00212DBC" w:rsidRDefault="00AE4666" w:rsidP="00212DBC">
      <w:pPr>
        <w:pStyle w:val="ListParagraph"/>
        <w:numPr>
          <w:ilvl w:val="1"/>
          <w:numId w:val="1"/>
        </w:numPr>
      </w:pPr>
      <w:r>
        <w:t xml:space="preserve">In Figure 1b, we see that </w:t>
      </w:r>
      <w:r w:rsidR="00212DBC">
        <w:t xml:space="preserve">the peak for </w:t>
      </w:r>
      <w:proofErr w:type="spellStart"/>
      <w:r w:rsidR="00212DBC">
        <w:t>P</w:t>
      </w:r>
      <w:r w:rsidR="00212DBC">
        <w:rPr>
          <w:vertAlign w:val="subscript"/>
        </w:rPr>
        <w:t>trans</w:t>
      </w:r>
      <w:proofErr w:type="spellEnd"/>
      <w:r w:rsidR="00212DBC">
        <w:t xml:space="preserve"> </w:t>
      </w:r>
      <w:r>
        <w:t>is very</w:t>
      </w:r>
      <w:r w:rsidR="00212DBC">
        <w:t xml:space="preserve"> broad</w:t>
      </w:r>
      <w:r>
        <w:t>,</w:t>
      </w:r>
      <w:r w:rsidR="00212DBC">
        <w:t xml:space="preserve"> whereas the peaks for </w:t>
      </w:r>
      <w:proofErr w:type="spellStart"/>
      <w:r w:rsidR="00212DBC">
        <w:t>P</w:t>
      </w:r>
      <w:r w:rsidR="00212DBC">
        <w:rPr>
          <w:vertAlign w:val="subscript"/>
        </w:rPr>
        <w:t>cis</w:t>
      </w:r>
      <w:proofErr w:type="spellEnd"/>
      <w:r w:rsidR="00212DBC">
        <w:t xml:space="preserve"> are sharp</w:t>
      </w:r>
      <w:r w:rsidR="007541A3">
        <w:t xml:space="preserve"> (</w:t>
      </w:r>
      <w:r>
        <w:t>NOTE:</w:t>
      </w:r>
      <w:r w:rsidR="007541A3">
        <w:t xml:space="preserve"> </w:t>
      </w:r>
      <w:proofErr w:type="spellStart"/>
      <w:r w:rsidR="007541A3">
        <w:t>P</w:t>
      </w:r>
      <w:r w:rsidR="007541A3">
        <w:rPr>
          <w:vertAlign w:val="subscript"/>
        </w:rPr>
        <w:t>cis</w:t>
      </w:r>
      <w:proofErr w:type="spellEnd"/>
      <w:r w:rsidR="007541A3">
        <w:t xml:space="preserve"> represents the two phosphines that are </w:t>
      </w:r>
      <w:r w:rsidR="007541A3">
        <w:rPr>
          <w:i/>
        </w:rPr>
        <w:t>cis</w:t>
      </w:r>
      <w:r w:rsidR="007541A3">
        <w:t xml:space="preserve"> to both hydrides and </w:t>
      </w:r>
      <w:proofErr w:type="spellStart"/>
      <w:r w:rsidR="007541A3">
        <w:t>P</w:t>
      </w:r>
      <w:r w:rsidR="007541A3">
        <w:rPr>
          <w:vertAlign w:val="subscript"/>
        </w:rPr>
        <w:t>trans</w:t>
      </w:r>
      <w:proofErr w:type="spellEnd"/>
      <w:r w:rsidR="007541A3">
        <w:t xml:space="preserve"> designates the phosphine that is </w:t>
      </w:r>
      <w:proofErr w:type="gramStart"/>
      <w:r w:rsidR="007541A3">
        <w:rPr>
          <w:i/>
        </w:rPr>
        <w:t>trans</w:t>
      </w:r>
      <w:proofErr w:type="gramEnd"/>
      <w:r w:rsidR="007541A3">
        <w:t xml:space="preserve"> to the blue hydride in Figure 1)</w:t>
      </w:r>
      <w:r>
        <w:t xml:space="preserve">.  Why is </w:t>
      </w:r>
      <w:proofErr w:type="spellStart"/>
      <w:r>
        <w:t>P</w:t>
      </w:r>
      <w:r>
        <w:rPr>
          <w:vertAlign w:val="subscript"/>
        </w:rPr>
        <w:t>trans</w:t>
      </w:r>
      <w:proofErr w:type="spellEnd"/>
      <w:r>
        <w:t xml:space="preserve"> so broad</w:t>
      </w:r>
      <w:r w:rsidR="00212DBC">
        <w:t>?  Think about dynamic processes that might result from different coordination environments of the two centers.</w:t>
      </w:r>
    </w:p>
    <w:p w:rsidR="001745E3" w:rsidRPr="001745E3" w:rsidRDefault="001745E3" w:rsidP="001745E3">
      <w:pPr>
        <w:spacing w:after="0" w:line="240" w:lineRule="auto"/>
        <w:ind w:left="360"/>
        <w:rPr>
          <w:b/>
          <w:color w:val="FF0000"/>
        </w:rPr>
      </w:pPr>
      <w:r w:rsidRPr="001745E3">
        <w:rPr>
          <w:b/>
          <w:color w:val="FF0000"/>
        </w:rPr>
        <w:t>HINTS about organometallic NMR:</w:t>
      </w:r>
    </w:p>
    <w:p w:rsidR="001745E3" w:rsidRDefault="001745E3" w:rsidP="001745E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FF0000"/>
        </w:rPr>
      </w:pPr>
      <w:r w:rsidRPr="001745E3">
        <w:rPr>
          <w:b/>
          <w:color w:val="FF0000"/>
          <w:vertAlign w:val="superscript"/>
        </w:rPr>
        <w:t>31</w:t>
      </w:r>
      <w:r w:rsidRPr="001745E3">
        <w:rPr>
          <w:b/>
          <w:color w:val="FF0000"/>
        </w:rPr>
        <w:t xml:space="preserve">P and </w:t>
      </w:r>
      <w:r w:rsidRPr="001745E3">
        <w:rPr>
          <w:b/>
          <w:color w:val="FF0000"/>
          <w:vertAlign w:val="superscript"/>
        </w:rPr>
        <w:t>103</w:t>
      </w:r>
      <w:r w:rsidRPr="001745E3">
        <w:rPr>
          <w:b/>
          <w:color w:val="FF0000"/>
        </w:rPr>
        <w:t xml:space="preserve">Rh are highly abundant, I = ½ nuclei just like </w:t>
      </w:r>
      <w:r w:rsidRPr="001745E3">
        <w:rPr>
          <w:b/>
          <w:color w:val="FF0000"/>
          <w:vertAlign w:val="superscript"/>
        </w:rPr>
        <w:t>1</w:t>
      </w:r>
      <w:r w:rsidRPr="001745E3">
        <w:rPr>
          <w:b/>
          <w:color w:val="FF0000"/>
        </w:rPr>
        <w:t xml:space="preserve">H.  </w:t>
      </w:r>
      <w:r>
        <w:rPr>
          <w:b/>
          <w:color w:val="FF0000"/>
        </w:rPr>
        <w:t xml:space="preserve">When you look at a </w:t>
      </w:r>
      <w:r>
        <w:rPr>
          <w:b/>
          <w:color w:val="FF0000"/>
          <w:vertAlign w:val="superscript"/>
        </w:rPr>
        <w:t>31</w:t>
      </w:r>
      <w:r>
        <w:rPr>
          <w:b/>
          <w:color w:val="FF0000"/>
        </w:rPr>
        <w:t xml:space="preserve">P NMR spectrum it will show you one peak per unique phosphorus center, but these peaks can be split just like </w:t>
      </w:r>
      <w:r>
        <w:rPr>
          <w:b/>
          <w:color w:val="FF0000"/>
          <w:vertAlign w:val="superscript"/>
        </w:rPr>
        <w:t>1</w:t>
      </w:r>
      <w:r>
        <w:rPr>
          <w:b/>
          <w:color w:val="FF0000"/>
        </w:rPr>
        <w:t>H by coupling to other I = ½ nuclei.</w:t>
      </w:r>
    </w:p>
    <w:p w:rsidR="001745E3" w:rsidRDefault="001745E3" w:rsidP="001745E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When a spectrum is reported like </w:t>
      </w:r>
      <w:proofErr w:type="gramStart"/>
      <w:r>
        <w:rPr>
          <w:b/>
          <w:color w:val="FF0000"/>
          <w:vertAlign w:val="superscript"/>
        </w:rPr>
        <w:t>13</w:t>
      </w:r>
      <w:r>
        <w:rPr>
          <w:b/>
          <w:color w:val="FF0000"/>
        </w:rPr>
        <w:t>C{</w:t>
      </w:r>
      <w:proofErr w:type="gramEnd"/>
      <w:r>
        <w:rPr>
          <w:b/>
          <w:color w:val="FF0000"/>
          <w:vertAlign w:val="superscript"/>
        </w:rPr>
        <w:t>1</w:t>
      </w:r>
      <w:r>
        <w:rPr>
          <w:b/>
          <w:color w:val="FF0000"/>
        </w:rPr>
        <w:t>H}, this means that the observed nucleus (in this case carbon-13) is decoupled from the nucleus in brackets (</w:t>
      </w:r>
      <w:r>
        <w:rPr>
          <w:b/>
          <w:color w:val="FF0000"/>
          <w:vertAlign w:val="superscript"/>
        </w:rPr>
        <w:t>1</w:t>
      </w:r>
      <w:r>
        <w:rPr>
          <w:b/>
          <w:color w:val="FF0000"/>
        </w:rPr>
        <w:t>H here), so no coupling between those nuclei should be observed.</w:t>
      </w:r>
    </w:p>
    <w:p w:rsidR="001745E3" w:rsidRDefault="001745E3" w:rsidP="001745E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Late-metal hydrides often show up very </w:t>
      </w:r>
      <w:proofErr w:type="spellStart"/>
      <w:r>
        <w:rPr>
          <w:b/>
          <w:color w:val="FF0000"/>
        </w:rPr>
        <w:t>upfield</w:t>
      </w:r>
      <w:proofErr w:type="spellEnd"/>
      <w:r>
        <w:rPr>
          <w:b/>
          <w:color w:val="FF0000"/>
        </w:rPr>
        <w:t>, possibly as negative as –40 ppm, depending on the environment.</w:t>
      </w:r>
    </w:p>
    <w:p w:rsidR="001745E3" w:rsidRDefault="001745E3" w:rsidP="001745E3">
      <w:pPr>
        <w:pStyle w:val="ListParagraph"/>
        <w:numPr>
          <w:ilvl w:val="0"/>
          <w:numId w:val="3"/>
        </w:num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Nuclei that are in fluxional environments tend to show broader peaks, which are basically averages of the multiple environments.</w:t>
      </w:r>
    </w:p>
    <w:p w:rsidR="002D1DC2" w:rsidRPr="001745E3" w:rsidRDefault="002D1DC2" w:rsidP="002D1DC2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b/>
          <w:color w:val="FF0000"/>
        </w:rPr>
      </w:pPr>
      <w:r>
        <w:rPr>
          <w:b/>
          <w:i/>
          <w:color w:val="FF0000"/>
        </w:rPr>
        <w:t>J</w:t>
      </w:r>
      <w:r>
        <w:rPr>
          <w:b/>
          <w:color w:val="FF0000"/>
        </w:rPr>
        <w:t xml:space="preserve"> is used to indicate a coupling constant.  </w:t>
      </w:r>
      <w:proofErr w:type="gramStart"/>
      <w:r w:rsidRPr="00E24D8C">
        <w:rPr>
          <w:b/>
          <w:i/>
          <w:color w:val="FF0000"/>
        </w:rPr>
        <w:t>Trans</w:t>
      </w:r>
      <w:proofErr w:type="gramEnd"/>
      <w:r>
        <w:rPr>
          <w:b/>
          <w:color w:val="FF0000"/>
        </w:rPr>
        <w:t xml:space="preserve"> couplings through metals are generally much stronger than corresponding </w:t>
      </w:r>
      <w:r w:rsidRPr="00E24D8C">
        <w:rPr>
          <w:b/>
          <w:i/>
          <w:color w:val="FF0000"/>
        </w:rPr>
        <w:t>cis</w:t>
      </w:r>
      <w:r>
        <w:rPr>
          <w:b/>
          <w:color w:val="FF0000"/>
        </w:rPr>
        <w:t xml:space="preserve"> couplings.</w:t>
      </w:r>
    </w:p>
    <w:p w:rsidR="001961BA" w:rsidRDefault="001961BA" w:rsidP="001961BA"/>
    <w:p w:rsidR="001745E3" w:rsidRDefault="001745E3">
      <w:r>
        <w:br w:type="page"/>
      </w:r>
    </w:p>
    <w:p w:rsidR="00FA1328" w:rsidRPr="00257E9A" w:rsidRDefault="003A698A" w:rsidP="00FA1328">
      <w:pPr>
        <w:pStyle w:val="ListParagraph"/>
        <w:numPr>
          <w:ilvl w:val="0"/>
          <w:numId w:val="1"/>
        </w:numPr>
      </w:pPr>
      <w:r>
        <w:lastRenderedPageBreak/>
        <w:t>T</w:t>
      </w:r>
      <w:r w:rsidR="00257E9A" w:rsidRPr="00257E9A">
        <w:t>he authors report that reaction of (PPh</w:t>
      </w:r>
      <w:r w:rsidR="00257E9A" w:rsidRPr="00257E9A">
        <w:rPr>
          <w:vertAlign w:val="subscript"/>
        </w:rPr>
        <w:t>3</w:t>
      </w:r>
      <w:r w:rsidR="00257E9A" w:rsidRPr="00257E9A">
        <w:t>)</w:t>
      </w:r>
      <w:proofErr w:type="gramStart"/>
      <w:r w:rsidR="00042AC9" w:rsidRPr="00042AC9">
        <w:rPr>
          <w:vertAlign w:val="subscript"/>
        </w:rPr>
        <w:t>3</w:t>
      </w:r>
      <w:r w:rsidR="00257E9A" w:rsidRPr="00257E9A">
        <w:t>Rh(</w:t>
      </w:r>
      <w:proofErr w:type="gramEnd"/>
      <w:r w:rsidR="00257E9A" w:rsidRPr="00257E9A">
        <w:t>H) with H</w:t>
      </w:r>
      <w:r w:rsidR="00257E9A" w:rsidRPr="00257E9A">
        <w:rPr>
          <w:vertAlign w:val="subscript"/>
        </w:rPr>
        <w:t>2</w:t>
      </w:r>
      <w:r w:rsidR="00257E9A" w:rsidRPr="00257E9A">
        <w:t xml:space="preserve"> at low temperature leads to the </w:t>
      </w:r>
      <w:proofErr w:type="spellStart"/>
      <w:r w:rsidR="00257E9A" w:rsidRPr="00257E9A">
        <w:t>trihydride</w:t>
      </w:r>
      <w:proofErr w:type="spellEnd"/>
      <w:r w:rsidR="00257E9A" w:rsidRPr="00257E9A">
        <w:t xml:space="preserve"> </w:t>
      </w:r>
      <w:r w:rsidR="00257E9A" w:rsidRPr="00257E9A">
        <w:rPr>
          <w:b/>
        </w:rPr>
        <w:t>17</w:t>
      </w:r>
      <w:r w:rsidR="00257E9A" w:rsidRPr="00257E9A">
        <w:t xml:space="preserve"> (see Figure 1e and the paragraphs beginning "We next undertook further spectroscopic studies at low temperature…"), which they apparently attribute to </w:t>
      </w:r>
      <w:proofErr w:type="spellStart"/>
      <w:r w:rsidR="00257E9A" w:rsidRPr="00257E9A">
        <w:t>sterics</w:t>
      </w:r>
      <w:proofErr w:type="spellEnd"/>
      <w:r w:rsidR="00257E9A">
        <w:t xml:space="preserve"> and reduced fluxionality at low temperature</w:t>
      </w:r>
      <w:r w:rsidR="00257E9A" w:rsidRPr="00257E9A">
        <w:t>: "At such temperature the mixture is in a nearly-zero fluxional regime and thus there is no steric barrier preventing free H</w:t>
      </w:r>
      <w:r w:rsidR="00257E9A" w:rsidRPr="00257E9A">
        <w:rPr>
          <w:vertAlign w:val="subscript"/>
        </w:rPr>
        <w:t>2</w:t>
      </w:r>
      <w:r w:rsidR="00257E9A" w:rsidRPr="00257E9A">
        <w:t xml:space="preserve"> from approaching and reacting with the rhodium(I) center."  </w:t>
      </w:r>
      <w:r w:rsidR="00C0766F">
        <w:t>I call</w:t>
      </w:r>
      <w:r w:rsidR="00257E9A" w:rsidRPr="00257E9A">
        <w:t xml:space="preserve"> BS.  Provide an alternative explanation for the equilibrium shown below, where the </w:t>
      </w:r>
      <w:proofErr w:type="spellStart"/>
      <w:r w:rsidR="00257E9A" w:rsidRPr="00257E9A">
        <w:t>trihydride</w:t>
      </w:r>
      <w:proofErr w:type="spellEnd"/>
      <w:r w:rsidR="00257E9A" w:rsidRPr="00257E9A">
        <w:t xml:space="preserve"> is favored at low temperature and disfavored at high temperature.</w:t>
      </w:r>
    </w:p>
    <w:p w:rsidR="00257E9A" w:rsidRPr="00257E9A" w:rsidRDefault="00257E9A" w:rsidP="00257E9A">
      <w:pPr>
        <w:pStyle w:val="ListParagraph"/>
      </w:pPr>
    </w:p>
    <w:p w:rsidR="00257E9A" w:rsidRPr="001846BB" w:rsidRDefault="001846BB" w:rsidP="00257E9A">
      <w:pPr>
        <w:pStyle w:val="ListParagraph"/>
        <w:jc w:val="center"/>
        <w:rPr>
          <w:b/>
          <w:color w:val="FF0000"/>
        </w:rPr>
      </w:pPr>
      <w:r w:rsidRPr="001846BB">
        <w:rPr>
          <w:b/>
          <w:noProof/>
          <w:color w:val="FF0000"/>
        </w:rPr>
        <w:t>OPTIONAL: Insert Figure 1e here</w:t>
      </w:r>
    </w:p>
    <w:p w:rsidR="003A698A" w:rsidRDefault="003A698A" w:rsidP="003A698A"/>
    <w:p w:rsidR="0028289D" w:rsidRDefault="003A698A" w:rsidP="0028289D">
      <w:pPr>
        <w:pStyle w:val="ListParagraph"/>
        <w:numPr>
          <w:ilvl w:val="0"/>
          <w:numId w:val="1"/>
        </w:numPr>
      </w:pPr>
      <w:r>
        <w:t>The authors describe a series of experiments to show what they believe to be the catalytically active species.  Ultimately, they claim that it is closely related to the previously observed (PPh</w:t>
      </w:r>
      <w:r>
        <w:rPr>
          <w:vertAlign w:val="subscript"/>
        </w:rPr>
        <w:t>3</w:t>
      </w:r>
      <w:r>
        <w:t>)</w:t>
      </w:r>
      <w:proofErr w:type="gramStart"/>
      <w:r>
        <w:rPr>
          <w:vertAlign w:val="subscript"/>
        </w:rPr>
        <w:t>3</w:t>
      </w:r>
      <w:r>
        <w:t>Rh(</w:t>
      </w:r>
      <w:proofErr w:type="gramEnd"/>
      <w:r>
        <w:t xml:space="preserve">H) but is not the same species.  What evidence do they provide that a different complex is observed in solution </w:t>
      </w:r>
      <w:r>
        <w:rPr>
          <w:u w:val="single"/>
        </w:rPr>
        <w:t>and</w:t>
      </w:r>
      <w:r>
        <w:t xml:space="preserve"> that this new complex is </w:t>
      </w:r>
      <w:r w:rsidR="001510A5">
        <w:t>an</w:t>
      </w:r>
      <w:r>
        <w:t xml:space="preserve"> important species for catalysis (</w:t>
      </w:r>
      <w:r>
        <w:rPr>
          <w:i/>
        </w:rPr>
        <w:t>HINT:</w:t>
      </w:r>
      <w:r>
        <w:t xml:space="preserve"> You may need to check out ref. 24).</w:t>
      </w:r>
      <w:r w:rsidR="0028289D">
        <w:br/>
      </w:r>
    </w:p>
    <w:p w:rsidR="0028289D" w:rsidRDefault="001846BB" w:rsidP="0028289D">
      <w:pPr>
        <w:pStyle w:val="ListParagraph"/>
        <w:numPr>
          <w:ilvl w:val="0"/>
          <w:numId w:val="1"/>
        </w:numPr>
      </w:pPr>
      <w:r>
        <w:t xml:space="preserve">The authors do some computational studies (Figure 3) in an attempt to identify </w:t>
      </w:r>
      <w:r w:rsidRPr="0028289D">
        <w:rPr>
          <w:b/>
        </w:rPr>
        <w:t>15</w:t>
      </w:r>
      <w:r w:rsidR="0028289D" w:rsidRPr="0028289D">
        <w:rPr>
          <w:b/>
        </w:rPr>
        <w:t>.</w:t>
      </w:r>
      <w:r>
        <w:t xml:space="preserve"> </w:t>
      </w:r>
      <w:r w:rsidR="0028289D">
        <w:t xml:space="preserve">In Figure 3, they </w:t>
      </w:r>
      <w:r>
        <w:t xml:space="preserve">label </w:t>
      </w:r>
      <w:r w:rsidRPr="0028289D">
        <w:rPr>
          <w:b/>
        </w:rPr>
        <w:t>15</w:t>
      </w:r>
      <w:r>
        <w:t xml:space="preserve"> as </w:t>
      </w:r>
      <w:r w:rsidR="0028289D">
        <w:t>a complex with 12·H</w:t>
      </w:r>
      <w:r w:rsidR="0028289D" w:rsidRPr="0028289D">
        <w:rPr>
          <w:vertAlign w:val="superscript"/>
        </w:rPr>
        <w:t>+</w:t>
      </w:r>
      <w:r w:rsidR="0028289D">
        <w:t xml:space="preserve"> hydrogen-bonded with Rh–H and the Rh–Cl distal to </w:t>
      </w:r>
      <w:r w:rsidR="0028289D" w:rsidRPr="0028289D">
        <w:rPr>
          <w:b/>
        </w:rPr>
        <w:t>12·H</w:t>
      </w:r>
      <w:r w:rsidR="0028289D" w:rsidRPr="0028289D">
        <w:rPr>
          <w:b/>
          <w:vertAlign w:val="superscript"/>
        </w:rPr>
        <w:t>+</w:t>
      </w:r>
      <w:r w:rsidR="0028289D">
        <w:t xml:space="preserve">.  Based on the </w:t>
      </w:r>
      <w:r w:rsidR="00042AC9">
        <w:t xml:space="preserve">energies they </w:t>
      </w:r>
      <w:r w:rsidR="00F30009">
        <w:t>compute</w:t>
      </w:r>
      <w:r w:rsidR="00042AC9">
        <w:t xml:space="preserve"> for the different isomers</w:t>
      </w:r>
      <w:r w:rsidR="0028289D">
        <w:t xml:space="preserve"> and your chemical intuition, why is this an unrealistic formulation for </w:t>
      </w:r>
      <w:r w:rsidR="0028289D" w:rsidRPr="0028289D">
        <w:rPr>
          <w:b/>
        </w:rPr>
        <w:t>15</w:t>
      </w:r>
      <w:r w:rsidR="0028289D">
        <w:t xml:space="preserve">?  What is the best description for </w:t>
      </w:r>
      <w:r w:rsidR="0028289D" w:rsidRPr="0028289D">
        <w:rPr>
          <w:b/>
        </w:rPr>
        <w:t>15</w:t>
      </w:r>
      <w:r w:rsidR="0028289D">
        <w:t>?</w:t>
      </w:r>
    </w:p>
    <w:p w:rsidR="0028289D" w:rsidRDefault="0028289D" w:rsidP="0028289D">
      <w:pPr>
        <w:pStyle w:val="ListParagraph"/>
      </w:pPr>
    </w:p>
    <w:p w:rsidR="0028289D" w:rsidRDefault="0028289D" w:rsidP="003A698A">
      <w:pPr>
        <w:pStyle w:val="ListParagraph"/>
        <w:numPr>
          <w:ilvl w:val="0"/>
          <w:numId w:val="1"/>
        </w:numPr>
      </w:pPr>
      <w:bookmarkStart w:id="0" w:name="_GoBack"/>
      <w:r>
        <w:t>Taking all of the data into account</w:t>
      </w:r>
      <w:r w:rsidR="00A12D98">
        <w:t xml:space="preserve"> (including the catalytic assay described in ref. 24 and the SI)</w:t>
      </w:r>
      <w:r>
        <w:t xml:space="preserve">, </w:t>
      </w:r>
      <w:r w:rsidR="00193B91">
        <w:t xml:space="preserve">do you believe the authors' claim that </w:t>
      </w:r>
      <w:r w:rsidR="00193B91">
        <w:rPr>
          <w:b/>
        </w:rPr>
        <w:t>15</w:t>
      </w:r>
      <w:r w:rsidR="00193B91">
        <w:t xml:space="preserve"> is really a new and more active catalyst than (PPh</w:t>
      </w:r>
      <w:r w:rsidR="00193B91">
        <w:rPr>
          <w:vertAlign w:val="subscript"/>
        </w:rPr>
        <w:t>3</w:t>
      </w:r>
      <w:r w:rsidR="00193B91">
        <w:t>)</w:t>
      </w:r>
      <w:proofErr w:type="gramStart"/>
      <w:r w:rsidR="00193B91">
        <w:rPr>
          <w:vertAlign w:val="subscript"/>
        </w:rPr>
        <w:t>3</w:t>
      </w:r>
      <w:r w:rsidR="00193B91">
        <w:t>Rh(</w:t>
      </w:r>
      <w:proofErr w:type="gramEnd"/>
      <w:r w:rsidR="00193B91">
        <w:t>H)?  If not, describe further studies that could substantiate this claim.</w:t>
      </w:r>
      <w:bookmarkEnd w:id="0"/>
    </w:p>
    <w:p w:rsidR="00FA1328" w:rsidRDefault="00FA1328" w:rsidP="00FA1328"/>
    <w:sectPr w:rsidR="00FA132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50" w:rsidRDefault="003D6950" w:rsidP="001C6E87">
      <w:r>
        <w:separator/>
      </w:r>
    </w:p>
  </w:endnote>
  <w:endnote w:type="continuationSeparator" w:id="0">
    <w:p w:rsidR="003D6950" w:rsidRDefault="003D6950" w:rsidP="001C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50" w:rsidRDefault="003D6950" w:rsidP="001C6E87">
      <w:r>
        <w:separator/>
      </w:r>
    </w:p>
  </w:footnote>
  <w:footnote w:type="continuationSeparator" w:id="0">
    <w:p w:rsidR="003D6950" w:rsidRDefault="003D6950" w:rsidP="001C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95A" w:rsidRDefault="0031495A" w:rsidP="0031495A">
    <w:pPr>
      <w:pStyle w:val="Header"/>
      <w:rPr>
        <w:sz w:val="20"/>
      </w:rPr>
    </w:pPr>
    <w:r w:rsidRPr="002C7185">
      <w:rPr>
        <w:sz w:val="20"/>
      </w:rPr>
      <w:t xml:space="preserve">Created by </w:t>
    </w:r>
    <w:r>
      <w:rPr>
        <w:sz w:val="20"/>
      </w:rPr>
      <w:t>Matthew T. Whited, Carleton College, mwhited@carleton.edu</w:t>
    </w:r>
    <w:r w:rsidRPr="002C7185">
      <w:rPr>
        <w:sz w:val="20"/>
      </w:rPr>
      <w:t xml:space="preserve"> and posted on </w:t>
    </w:r>
    <w:proofErr w:type="spellStart"/>
    <w:r w:rsidRPr="002C7185">
      <w:rPr>
        <w:sz w:val="20"/>
      </w:rPr>
      <w:t>VIPEr</w:t>
    </w:r>
    <w:proofErr w:type="spellEnd"/>
    <w:r w:rsidRPr="002C7185">
      <w:rPr>
        <w:sz w:val="20"/>
      </w:rPr>
      <w:t xml:space="preserve"> on </w:t>
    </w:r>
    <w:r>
      <w:rPr>
        <w:sz w:val="20"/>
      </w:rPr>
      <w:t>February 21, 2017</w:t>
    </w:r>
    <w:r w:rsidRPr="002C7185">
      <w:rPr>
        <w:sz w:val="20"/>
      </w:rPr>
      <w:t xml:space="preserve">, Copyright </w:t>
    </w:r>
    <w:r>
      <w:rPr>
        <w:sz w:val="20"/>
      </w:rPr>
      <w:t>Matthew T. Whited, 2017</w:t>
    </w:r>
    <w:r w:rsidRPr="002C7185">
      <w:rPr>
        <w:sz w:val="20"/>
      </w:rPr>
      <w:t>. This work is licensed under the Creative Commons Attribution-</w:t>
    </w:r>
    <w:proofErr w:type="spellStart"/>
    <w:r w:rsidRPr="002C7185">
      <w:rPr>
        <w:sz w:val="20"/>
      </w:rPr>
      <w:t>NonCommercial</w:t>
    </w:r>
    <w:proofErr w:type="spellEnd"/>
    <w:r w:rsidRPr="002C7185">
      <w:rPr>
        <w:sz w:val="20"/>
      </w:rPr>
      <w:t>-</w:t>
    </w:r>
    <w:proofErr w:type="spellStart"/>
    <w:r w:rsidRPr="002C7185">
      <w:rPr>
        <w:sz w:val="20"/>
      </w:rPr>
      <w:t>ShareAlike</w:t>
    </w:r>
    <w:proofErr w:type="spellEnd"/>
    <w:r w:rsidRPr="002C7185">
      <w:rPr>
        <w:sz w:val="20"/>
      </w:rPr>
      <w:t xml:space="preserve"> License. To view a copy of this license visit </w:t>
    </w:r>
    <w:hyperlink r:id="rId1" w:history="1">
      <w:r w:rsidRPr="000D2A61">
        <w:rPr>
          <w:rStyle w:val="Hyperlink"/>
          <w:sz w:val="20"/>
        </w:rPr>
        <w:t>http://creativecommons.org/about/license/</w:t>
      </w:r>
    </w:hyperlink>
  </w:p>
  <w:p w:rsidR="001C6E87" w:rsidRPr="0031495A" w:rsidRDefault="001C6E87" w:rsidP="00314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63AFD"/>
    <w:multiLevelType w:val="multilevel"/>
    <w:tmpl w:val="CC4285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0090B0A"/>
    <w:multiLevelType w:val="multilevel"/>
    <w:tmpl w:val="CC4285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F3019C3"/>
    <w:multiLevelType w:val="hybridMultilevel"/>
    <w:tmpl w:val="E9921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87"/>
    <w:rsid w:val="00042AC9"/>
    <w:rsid w:val="00051DDD"/>
    <w:rsid w:val="00066E7B"/>
    <w:rsid w:val="00075A42"/>
    <w:rsid w:val="000C3F01"/>
    <w:rsid w:val="000D0583"/>
    <w:rsid w:val="00146369"/>
    <w:rsid w:val="001510A5"/>
    <w:rsid w:val="0015778A"/>
    <w:rsid w:val="001745E3"/>
    <w:rsid w:val="001846BB"/>
    <w:rsid w:val="001857B0"/>
    <w:rsid w:val="00193B91"/>
    <w:rsid w:val="001961BA"/>
    <w:rsid w:val="00196D43"/>
    <w:rsid w:val="001C5048"/>
    <w:rsid w:val="001C6E87"/>
    <w:rsid w:val="001D1ED1"/>
    <w:rsid w:val="00210D0C"/>
    <w:rsid w:val="002127B6"/>
    <w:rsid w:val="00212DBC"/>
    <w:rsid w:val="00257E9A"/>
    <w:rsid w:val="00273A86"/>
    <w:rsid w:val="0028289D"/>
    <w:rsid w:val="002C3EBF"/>
    <w:rsid w:val="002D1DC2"/>
    <w:rsid w:val="002E5319"/>
    <w:rsid w:val="00307A14"/>
    <w:rsid w:val="0031495A"/>
    <w:rsid w:val="003345DC"/>
    <w:rsid w:val="003460BF"/>
    <w:rsid w:val="00355795"/>
    <w:rsid w:val="003A07F0"/>
    <w:rsid w:val="003A698A"/>
    <w:rsid w:val="003B177D"/>
    <w:rsid w:val="003B32A5"/>
    <w:rsid w:val="003D0CBB"/>
    <w:rsid w:val="003D6950"/>
    <w:rsid w:val="003F1683"/>
    <w:rsid w:val="00411D68"/>
    <w:rsid w:val="0041710B"/>
    <w:rsid w:val="00417F1C"/>
    <w:rsid w:val="004443A9"/>
    <w:rsid w:val="00496DB1"/>
    <w:rsid w:val="004B5985"/>
    <w:rsid w:val="004B7258"/>
    <w:rsid w:val="00506BD7"/>
    <w:rsid w:val="005350B6"/>
    <w:rsid w:val="005B0AFA"/>
    <w:rsid w:val="005B2468"/>
    <w:rsid w:val="005B5602"/>
    <w:rsid w:val="00604829"/>
    <w:rsid w:val="006061A2"/>
    <w:rsid w:val="00610721"/>
    <w:rsid w:val="00610BA4"/>
    <w:rsid w:val="006338A1"/>
    <w:rsid w:val="0064316A"/>
    <w:rsid w:val="0066609A"/>
    <w:rsid w:val="006722F5"/>
    <w:rsid w:val="006A3445"/>
    <w:rsid w:val="006B1A8C"/>
    <w:rsid w:val="006D13B9"/>
    <w:rsid w:val="006E32E8"/>
    <w:rsid w:val="007541A3"/>
    <w:rsid w:val="007A38F9"/>
    <w:rsid w:val="007A5FEE"/>
    <w:rsid w:val="00803158"/>
    <w:rsid w:val="008259A6"/>
    <w:rsid w:val="00885887"/>
    <w:rsid w:val="008B5763"/>
    <w:rsid w:val="008D0D99"/>
    <w:rsid w:val="008D5BBC"/>
    <w:rsid w:val="00965A92"/>
    <w:rsid w:val="00980689"/>
    <w:rsid w:val="00A02C21"/>
    <w:rsid w:val="00A12D98"/>
    <w:rsid w:val="00A34798"/>
    <w:rsid w:val="00A80745"/>
    <w:rsid w:val="00A94EF4"/>
    <w:rsid w:val="00A956CA"/>
    <w:rsid w:val="00AA3BA3"/>
    <w:rsid w:val="00AB4865"/>
    <w:rsid w:val="00AD6D5C"/>
    <w:rsid w:val="00AE4666"/>
    <w:rsid w:val="00B33016"/>
    <w:rsid w:val="00B66E0F"/>
    <w:rsid w:val="00B7222D"/>
    <w:rsid w:val="00B84ED6"/>
    <w:rsid w:val="00BA17FE"/>
    <w:rsid w:val="00BB6EA8"/>
    <w:rsid w:val="00BD18DC"/>
    <w:rsid w:val="00BD2AEE"/>
    <w:rsid w:val="00BE580B"/>
    <w:rsid w:val="00C0766F"/>
    <w:rsid w:val="00C9289A"/>
    <w:rsid w:val="00C95205"/>
    <w:rsid w:val="00CB10A1"/>
    <w:rsid w:val="00CC3149"/>
    <w:rsid w:val="00D16391"/>
    <w:rsid w:val="00D3068C"/>
    <w:rsid w:val="00D331C8"/>
    <w:rsid w:val="00D5751C"/>
    <w:rsid w:val="00D62B03"/>
    <w:rsid w:val="00D861D7"/>
    <w:rsid w:val="00DA1953"/>
    <w:rsid w:val="00DC1EB2"/>
    <w:rsid w:val="00DD43AE"/>
    <w:rsid w:val="00DD4770"/>
    <w:rsid w:val="00DF2285"/>
    <w:rsid w:val="00E027F9"/>
    <w:rsid w:val="00E04648"/>
    <w:rsid w:val="00E24C69"/>
    <w:rsid w:val="00EC0505"/>
    <w:rsid w:val="00EC3734"/>
    <w:rsid w:val="00EC660E"/>
    <w:rsid w:val="00F03217"/>
    <w:rsid w:val="00F30009"/>
    <w:rsid w:val="00F71B7B"/>
    <w:rsid w:val="00FA1328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937853-5A58-4DF2-9A9F-F1A92055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87"/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87"/>
  </w:style>
  <w:style w:type="paragraph" w:styleId="Footer">
    <w:name w:val="footer"/>
    <w:basedOn w:val="Normal"/>
    <w:link w:val="FooterChar"/>
    <w:uiPriority w:val="99"/>
    <w:unhideWhenUsed/>
    <w:rsid w:val="001C6E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87"/>
  </w:style>
  <w:style w:type="paragraph" w:styleId="BalloonText">
    <w:name w:val="Balloon Text"/>
    <w:basedOn w:val="Normal"/>
    <w:link w:val="BalloonTextChar"/>
    <w:uiPriority w:val="99"/>
    <w:semiHidden/>
    <w:unhideWhenUsed/>
    <w:rsid w:val="001C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E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8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43A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961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store/10.1002/anie.201506216/asset/supinfo/anie_201506216_sm_miscellaneous_information.pdf?v=1&amp;s=6b549d9feb2306496016a4fc1f611fa10086cfe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CCE4-0934-4D48-BE6A-39D9B192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Carleton College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Whited</dc:creator>
  <cp:lastModifiedBy>Matt Whited</cp:lastModifiedBy>
  <cp:revision>8</cp:revision>
  <cp:lastPrinted>2011-09-15T16:29:00Z</cp:lastPrinted>
  <dcterms:created xsi:type="dcterms:W3CDTF">2017-02-21T18:27:00Z</dcterms:created>
  <dcterms:modified xsi:type="dcterms:W3CDTF">2017-03-02T17:45:00Z</dcterms:modified>
</cp:coreProperties>
</file>