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6AB4E" w14:textId="77777777" w:rsidR="00974E19" w:rsidRPr="00974E19" w:rsidRDefault="00974E19" w:rsidP="00974E19">
      <w:pPr>
        <w:rPr>
          <w:rFonts w:ascii="Times New Roman" w:hAnsi="Times New Roman"/>
          <w:color w:val="808080" w:themeColor="background1" w:themeShade="80"/>
        </w:rPr>
      </w:pPr>
      <w:r w:rsidRPr="00974E19">
        <w:rPr>
          <w:rFonts w:ascii="Times New Roman" w:hAnsi="Times New Roman"/>
          <w:color w:val="808080" w:themeColor="background1" w:themeShade="80"/>
        </w:rPr>
        <w:t xml:space="preserve">Created by Alycia M. Palmer, The Ohio State University (palmer.475@osu.edu) and posted on </w:t>
      </w:r>
      <w:proofErr w:type="spellStart"/>
      <w:r w:rsidRPr="00974E19">
        <w:rPr>
          <w:rFonts w:ascii="Times New Roman" w:hAnsi="Times New Roman"/>
          <w:color w:val="808080" w:themeColor="background1" w:themeShade="80"/>
        </w:rPr>
        <w:t>VIPEr</w:t>
      </w:r>
      <w:proofErr w:type="spellEnd"/>
      <w:r w:rsidRPr="00974E19">
        <w:rPr>
          <w:rFonts w:ascii="Times New Roman" w:hAnsi="Times New Roman"/>
          <w:color w:val="808080" w:themeColor="background1" w:themeShade="80"/>
        </w:rPr>
        <w:t xml:space="preserve"> (</w:t>
      </w:r>
      <w:hyperlink r:id="rId8" w:history="1">
        <w:r w:rsidRPr="00974E19">
          <w:rPr>
            <w:rStyle w:val="Hyperlink"/>
            <w:rFonts w:ascii="Times New Roman" w:hAnsi="Times New Roman"/>
            <w:color w:val="808080" w:themeColor="background1" w:themeShade="80"/>
          </w:rPr>
          <w:t>www.ionicviper.org</w:t>
        </w:r>
      </w:hyperlink>
      <w:r w:rsidRPr="00974E19">
        <w:rPr>
          <w:rFonts w:ascii="Times New Roman" w:hAnsi="Times New Roman"/>
          <w:color w:val="808080" w:themeColor="background1" w:themeShade="80"/>
        </w:rPr>
        <w:t xml:space="preserve">) on April 25, 2014.  Copyright Alycia M. Palmer 2014.  This work is licensed under the Creative Commons Attribution Non-commercial Share Alike License. To view a copy of this license visit </w:t>
      </w:r>
      <w:hyperlink r:id="rId9" w:history="1">
        <w:r w:rsidRPr="00974E19">
          <w:rPr>
            <w:rStyle w:val="Hyperlink"/>
            <w:rFonts w:ascii="Times New Roman" w:hAnsi="Times New Roman"/>
            <w:color w:val="808080" w:themeColor="background1" w:themeShade="80"/>
          </w:rPr>
          <w:t>http://creativecommons.org/about/license/</w:t>
        </w:r>
      </w:hyperlink>
      <w:r w:rsidRPr="00974E19">
        <w:rPr>
          <w:rFonts w:ascii="Times New Roman" w:hAnsi="Times New Roman"/>
          <w:color w:val="808080" w:themeColor="background1" w:themeShade="80"/>
        </w:rPr>
        <w:t>.</w:t>
      </w:r>
    </w:p>
    <w:p w14:paraId="0A94F2C9" w14:textId="77777777" w:rsidR="00B23BC2" w:rsidRDefault="00B23BC2" w:rsidP="00B23BC2">
      <w:pPr>
        <w:jc w:val="center"/>
        <w:rPr>
          <w:b/>
          <w:sz w:val="28"/>
          <w:szCs w:val="28"/>
        </w:rPr>
      </w:pPr>
      <w:commentRangeStart w:id="0"/>
      <w:r w:rsidRPr="0038146D">
        <w:rPr>
          <w:b/>
          <w:sz w:val="28"/>
          <w:szCs w:val="28"/>
        </w:rPr>
        <w:t>Spectroscopy in Inorganic Chemistry</w:t>
      </w:r>
      <w:commentRangeEnd w:id="0"/>
      <w:r w:rsidR="003D71D9">
        <w:rPr>
          <w:rStyle w:val="CommentReference"/>
        </w:rPr>
        <w:commentReference w:id="0"/>
      </w:r>
    </w:p>
    <w:p w14:paraId="0F32B8AD" w14:textId="77777777" w:rsidR="000A6CE5" w:rsidRPr="00A50EB2" w:rsidRDefault="00A50EB2" w:rsidP="000A6CE5">
      <w:pPr>
        <w:rPr>
          <w:b/>
          <w:sz w:val="24"/>
          <w:szCs w:val="24"/>
        </w:rPr>
      </w:pPr>
      <w:r w:rsidRPr="00A50EB2">
        <w:rPr>
          <w:b/>
          <w:sz w:val="24"/>
          <w:szCs w:val="24"/>
        </w:rPr>
        <w:t>Learning Goals:</w:t>
      </w:r>
    </w:p>
    <w:p w14:paraId="27E38C68" w14:textId="6C50C45D" w:rsidR="00A50EB2" w:rsidRPr="00460387" w:rsidRDefault="003D71D9" w:rsidP="00A50EB2">
      <w:pPr>
        <w:pStyle w:val="ListParagraph"/>
        <w:numPr>
          <w:ilvl w:val="0"/>
          <w:numId w:val="3"/>
        </w:numPr>
      </w:pPr>
      <w:r>
        <w:t>Describe, in general,</w:t>
      </w:r>
      <w:r w:rsidR="00CC4E69" w:rsidRPr="00460387">
        <w:t xml:space="preserve"> how each different</w:t>
      </w:r>
      <w:r w:rsidR="00A50EB2" w:rsidRPr="00460387">
        <w:t xml:space="preserve"> region of the electromagnetic spectrum</w:t>
      </w:r>
      <w:r w:rsidR="00CC4E69" w:rsidRPr="00460387">
        <w:t xml:space="preserve"> influences molecules</w:t>
      </w:r>
      <w:r>
        <w:t>.</w:t>
      </w:r>
    </w:p>
    <w:p w14:paraId="5F8E372A" w14:textId="39BD7E22" w:rsidR="00CC4E69" w:rsidRPr="00460387" w:rsidRDefault="003D71D9" w:rsidP="00A50EB2">
      <w:pPr>
        <w:pStyle w:val="ListParagraph"/>
        <w:numPr>
          <w:ilvl w:val="0"/>
          <w:numId w:val="3"/>
        </w:numPr>
      </w:pPr>
      <w:r>
        <w:t>Use data in a research article to explain</w:t>
      </w:r>
      <w:r w:rsidR="00CC4E69" w:rsidRPr="00460387">
        <w:t xml:space="preserve"> how spectroscopy of metal complexes is different from organic gases</w:t>
      </w:r>
      <w:r>
        <w:t>.</w:t>
      </w:r>
    </w:p>
    <w:p w14:paraId="69C6ED45" w14:textId="57BAA853" w:rsidR="00EE4C10" w:rsidRPr="00460387" w:rsidRDefault="003D71D9" w:rsidP="00A50EB2">
      <w:pPr>
        <w:pStyle w:val="ListParagraph"/>
        <w:numPr>
          <w:ilvl w:val="0"/>
          <w:numId w:val="3"/>
        </w:numPr>
      </w:pPr>
      <w:r>
        <w:t>Explain</w:t>
      </w:r>
      <w:r w:rsidR="004A2694" w:rsidRPr="00460387">
        <w:t xml:space="preserve"> how FT-IR is useful in Lab 6 to monitor the linkage isomerism of NO</w:t>
      </w:r>
      <w:r w:rsidR="004A2694" w:rsidRPr="00460387">
        <w:rPr>
          <w:vertAlign w:val="subscript"/>
        </w:rPr>
        <w:t>2</w:t>
      </w:r>
      <w:r w:rsidR="004A2694" w:rsidRPr="00460387">
        <w:t xml:space="preserve"> on a cobalt complex</w:t>
      </w:r>
    </w:p>
    <w:p w14:paraId="6DE727BD" w14:textId="77777777" w:rsidR="00A50EB2" w:rsidRPr="00460387" w:rsidRDefault="00A50EB2" w:rsidP="00A50EB2">
      <w:pPr>
        <w:pStyle w:val="ListParagraph"/>
        <w:numPr>
          <w:ilvl w:val="0"/>
          <w:numId w:val="3"/>
        </w:numPr>
      </w:pPr>
      <w:r w:rsidRPr="00460387">
        <w:t>Design a series of spectroscopic experiments to identify intermediates in an inorganic synthetic pathway</w:t>
      </w:r>
    </w:p>
    <w:p w14:paraId="22B4665A" w14:textId="1AF4381C" w:rsidR="002F26CE" w:rsidRPr="00EE4C10" w:rsidRDefault="00EE4C10" w:rsidP="00EE4C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1: </w:t>
      </w:r>
      <w:r w:rsidR="002F26CE" w:rsidRPr="00EE4C10">
        <w:rPr>
          <w:b/>
          <w:sz w:val="28"/>
          <w:szCs w:val="28"/>
        </w:rPr>
        <w:t xml:space="preserve">The Electromagnetic </w:t>
      </w:r>
      <w:commentRangeStart w:id="1"/>
      <w:r w:rsidR="002F26CE" w:rsidRPr="00EE4C10">
        <w:rPr>
          <w:b/>
          <w:sz w:val="28"/>
          <w:szCs w:val="28"/>
        </w:rPr>
        <w:t>Spectrum</w:t>
      </w:r>
      <w:commentRangeEnd w:id="1"/>
      <w:r w:rsidR="00F57211">
        <w:rPr>
          <w:rStyle w:val="CommentReference"/>
        </w:rPr>
        <w:commentReference w:id="1"/>
      </w:r>
    </w:p>
    <w:p w14:paraId="7DC758C4" w14:textId="04B10977" w:rsidR="002F26CE" w:rsidRPr="001D06C1" w:rsidRDefault="001D06C1" w:rsidP="002F26CE">
      <w:pPr>
        <w:rPr>
          <w:sz w:val="24"/>
          <w:szCs w:val="24"/>
        </w:rPr>
      </w:pPr>
      <w:r>
        <w:rPr>
          <w:sz w:val="24"/>
          <w:szCs w:val="24"/>
        </w:rPr>
        <w:t>Label the regions of the electromagneti</w:t>
      </w:r>
      <w:r w:rsidR="00721959">
        <w:rPr>
          <w:sz w:val="24"/>
          <w:szCs w:val="24"/>
        </w:rPr>
        <w:t>c spectrum in the picture below</w:t>
      </w:r>
      <w:r>
        <w:rPr>
          <w:sz w:val="24"/>
          <w:szCs w:val="24"/>
        </w:rPr>
        <w:t xml:space="preserve"> (from gamma to radio)</w:t>
      </w:r>
      <w:r w:rsidR="00721959">
        <w:rPr>
          <w:sz w:val="24"/>
          <w:szCs w:val="24"/>
        </w:rPr>
        <w:t>.</w:t>
      </w:r>
    </w:p>
    <w:p w14:paraId="63A561BE" w14:textId="16B52C8D" w:rsidR="002F26CE" w:rsidRDefault="002F26CE" w:rsidP="002F26CE">
      <w:pPr>
        <w:rPr>
          <w:b/>
          <w:sz w:val="28"/>
          <w:szCs w:val="28"/>
        </w:rPr>
      </w:pPr>
    </w:p>
    <w:p w14:paraId="5AA3B0AE" w14:textId="24A7FFDC" w:rsidR="002F26CE" w:rsidRDefault="00C400E5" w:rsidP="002F26CE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61F56" wp14:editId="12D32823">
                <wp:simplePos x="0" y="0"/>
                <wp:positionH relativeFrom="column">
                  <wp:posOffset>565785</wp:posOffset>
                </wp:positionH>
                <wp:positionV relativeFrom="paragraph">
                  <wp:posOffset>300990</wp:posOffset>
                </wp:positionV>
                <wp:extent cx="283845" cy="0"/>
                <wp:effectExtent l="38100" t="76200" r="0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8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5E0A8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4.55pt;margin-top:23.7pt;width:22.3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" strokecolor="black [3213]" strokeweight=".5pt">
                <v:stroke endarrow="block" joinstyle="miter"/>
              </v:shape>
            </w:pict>
          </mc:Fallback>
        </mc:AlternateContent>
      </w:r>
      <w:r w:rsidR="00C1401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B1994A" wp14:editId="5C0F6EB1">
                <wp:simplePos x="0" y="0"/>
                <wp:positionH relativeFrom="column">
                  <wp:posOffset>5164455</wp:posOffset>
                </wp:positionH>
                <wp:positionV relativeFrom="paragraph">
                  <wp:posOffset>300413</wp:posOffset>
                </wp:positionV>
                <wp:extent cx="284019" cy="0"/>
                <wp:effectExtent l="0" t="76200" r="20955" b="952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019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581D5" id="Straight Arrow Connector 2" o:spid="_x0000_s1026" type="#_x0000_t32" style="position:absolute;margin-left:406.65pt;margin-top:23.65pt;width:22.3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1D06C1">
        <w:rPr>
          <w:b/>
          <w:noProof/>
          <w:sz w:val="28"/>
          <w:szCs w:val="28"/>
        </w:rPr>
        <w:drawing>
          <wp:inline distT="0" distB="0" distL="0" distR="0" wp14:anchorId="2910BE4C" wp14:editId="02612615">
            <wp:extent cx="5943600" cy="66992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M_spectru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D2D682" w14:textId="4D323A34" w:rsidR="000A6CE5" w:rsidRPr="00460387" w:rsidRDefault="00460387" w:rsidP="00460387">
      <w:pPr>
        <w:rPr>
          <w:b/>
          <w:sz w:val="28"/>
          <w:szCs w:val="28"/>
        </w:rPr>
      </w:pPr>
      <w:bookmarkStart w:id="2" w:name="_GoBack"/>
      <w:bookmarkEnd w:id="2"/>
      <w:r>
        <w:rPr>
          <w:b/>
          <w:sz w:val="28"/>
          <w:szCs w:val="28"/>
        </w:rPr>
        <w:t xml:space="preserve">Part 2: </w:t>
      </w:r>
      <w:r w:rsidR="000A6CE5" w:rsidRPr="00460387">
        <w:rPr>
          <w:b/>
          <w:sz w:val="28"/>
          <w:szCs w:val="28"/>
        </w:rPr>
        <w:t>Infrared Spectroscopy</w:t>
      </w:r>
      <w:r w:rsidR="00EE4C10" w:rsidRPr="00460387">
        <w:rPr>
          <w:b/>
          <w:sz w:val="28"/>
          <w:szCs w:val="28"/>
        </w:rPr>
        <w:t xml:space="preserve"> and Vibrational Modes</w:t>
      </w:r>
    </w:p>
    <w:p w14:paraId="289AE9B3" w14:textId="3FDE4728" w:rsidR="000A6CE5" w:rsidRDefault="000A6CE5" w:rsidP="000A6CE5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 the 6 molecules used in the</w:t>
      </w:r>
      <w:r w:rsidR="00B23BC2">
        <w:rPr>
          <w:sz w:val="24"/>
          <w:szCs w:val="24"/>
        </w:rPr>
        <w:t xml:space="preserve"> “Molecules and Light”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sim</w:t>
      </w:r>
      <w:proofErr w:type="spellEnd"/>
      <w:r>
        <w:rPr>
          <w:sz w:val="24"/>
          <w:szCs w:val="24"/>
        </w:rPr>
        <w:t>, CO, H</w:t>
      </w:r>
      <w:r>
        <w:rPr>
          <w:sz w:val="24"/>
          <w:szCs w:val="24"/>
        </w:rPr>
        <w:softHyphen/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O, and NO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are common </w:t>
      </w:r>
      <w:r w:rsidR="00C1401C">
        <w:rPr>
          <w:sz w:val="24"/>
          <w:szCs w:val="24"/>
        </w:rPr>
        <w:t>ligands of inorganic complexes; complete the table below for these molecules.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2880"/>
        <w:gridCol w:w="2516"/>
        <w:gridCol w:w="2249"/>
      </w:tblGrid>
      <w:tr w:rsidR="000A6CE5" w14:paraId="54306A31" w14:textId="77777777" w:rsidTr="00972F36">
        <w:tc>
          <w:tcPr>
            <w:tcW w:w="1345" w:type="dxa"/>
          </w:tcPr>
          <w:p w14:paraId="715873BE" w14:textId="77777777" w:rsidR="000A6CE5" w:rsidRDefault="000A6CE5" w:rsidP="00972F36">
            <w:pPr>
              <w:jc w:val="center"/>
            </w:pPr>
            <w:r>
              <w:t>Molecule</w:t>
            </w:r>
          </w:p>
        </w:tc>
        <w:tc>
          <w:tcPr>
            <w:tcW w:w="2880" w:type="dxa"/>
          </w:tcPr>
          <w:p w14:paraId="695D3210" w14:textId="77777777" w:rsidR="000A6CE5" w:rsidRDefault="000A6CE5" w:rsidP="00972F36">
            <w:pPr>
              <w:jc w:val="center"/>
            </w:pPr>
            <w:r>
              <w:t>Lewis Structure</w:t>
            </w:r>
          </w:p>
        </w:tc>
        <w:tc>
          <w:tcPr>
            <w:tcW w:w="2516" w:type="dxa"/>
          </w:tcPr>
          <w:p w14:paraId="37567B56" w14:textId="77777777" w:rsidR="000A6CE5" w:rsidRDefault="000A6CE5" w:rsidP="00972F36">
            <w:pPr>
              <w:jc w:val="center"/>
            </w:pPr>
            <w:r>
              <w:t>Coordinating atom(s)</w:t>
            </w:r>
          </w:p>
        </w:tc>
        <w:tc>
          <w:tcPr>
            <w:tcW w:w="2249" w:type="dxa"/>
          </w:tcPr>
          <w:p w14:paraId="0BC65ED3" w14:textId="77777777" w:rsidR="000A6CE5" w:rsidRDefault="000A6CE5" w:rsidP="00972F36">
            <w:pPr>
              <w:jc w:val="center"/>
            </w:pPr>
            <w:r>
              <w:t xml:space="preserve"># vibrational </w:t>
            </w:r>
            <w:commentRangeStart w:id="3"/>
            <w:r>
              <w:t>modes</w:t>
            </w:r>
            <w:commentRangeEnd w:id="3"/>
            <w:r w:rsidR="00EE4C10">
              <w:rPr>
                <w:rStyle w:val="CommentReference"/>
                <w:rFonts w:eastAsiaTheme="minorHAnsi"/>
              </w:rPr>
              <w:commentReference w:id="3"/>
            </w:r>
          </w:p>
        </w:tc>
      </w:tr>
      <w:tr w:rsidR="000A6CE5" w14:paraId="1319329D" w14:textId="77777777" w:rsidTr="00972F36">
        <w:tc>
          <w:tcPr>
            <w:tcW w:w="1345" w:type="dxa"/>
            <w:vAlign w:val="center"/>
          </w:tcPr>
          <w:p w14:paraId="6066B3B7" w14:textId="77777777" w:rsidR="000A6CE5" w:rsidRDefault="000A6CE5" w:rsidP="00972F36">
            <w:pPr>
              <w:jc w:val="center"/>
            </w:pPr>
            <w:r>
              <w:t>CO</w:t>
            </w:r>
          </w:p>
        </w:tc>
        <w:tc>
          <w:tcPr>
            <w:tcW w:w="2880" w:type="dxa"/>
          </w:tcPr>
          <w:p w14:paraId="02BA1689" w14:textId="77777777" w:rsidR="000A6CE5" w:rsidRDefault="000A6CE5" w:rsidP="00972F36"/>
          <w:p w14:paraId="37FF2E02" w14:textId="77777777" w:rsidR="000A6CE5" w:rsidRDefault="000A6CE5" w:rsidP="00972F36"/>
          <w:p w14:paraId="5394CAF5" w14:textId="77777777" w:rsidR="000A6CE5" w:rsidRDefault="000A6CE5" w:rsidP="00972F36"/>
          <w:p w14:paraId="0E3B0DBF" w14:textId="77777777" w:rsidR="00114561" w:rsidRDefault="00114561" w:rsidP="00972F36"/>
        </w:tc>
        <w:tc>
          <w:tcPr>
            <w:tcW w:w="2516" w:type="dxa"/>
          </w:tcPr>
          <w:p w14:paraId="0A8B0BB7" w14:textId="77777777" w:rsidR="000A6CE5" w:rsidRDefault="00EE4C10" w:rsidP="00972F36">
            <w:r>
              <w:rPr>
                <w:rStyle w:val="CommentReference"/>
                <w:rFonts w:eastAsiaTheme="minorHAnsi"/>
              </w:rPr>
              <w:commentReference w:id="4"/>
            </w:r>
          </w:p>
        </w:tc>
        <w:tc>
          <w:tcPr>
            <w:tcW w:w="2249" w:type="dxa"/>
          </w:tcPr>
          <w:p w14:paraId="134D2F38" w14:textId="77777777" w:rsidR="000A6CE5" w:rsidRDefault="000A6CE5" w:rsidP="00972F36"/>
        </w:tc>
      </w:tr>
      <w:tr w:rsidR="000A6CE5" w14:paraId="413E9F10" w14:textId="77777777" w:rsidTr="00972F36">
        <w:tc>
          <w:tcPr>
            <w:tcW w:w="1345" w:type="dxa"/>
            <w:vAlign w:val="center"/>
          </w:tcPr>
          <w:p w14:paraId="48B77E83" w14:textId="77777777" w:rsidR="000A6CE5" w:rsidRPr="00EC4A2F" w:rsidRDefault="000A6CE5" w:rsidP="00972F36">
            <w:pPr>
              <w:jc w:val="center"/>
            </w:pPr>
            <w:r>
              <w:t>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2880" w:type="dxa"/>
          </w:tcPr>
          <w:p w14:paraId="5935B6CA" w14:textId="77777777" w:rsidR="000A6CE5" w:rsidRDefault="000A6CE5" w:rsidP="00972F36"/>
          <w:p w14:paraId="7CB24084" w14:textId="77777777" w:rsidR="00114561" w:rsidRDefault="00114561" w:rsidP="00972F36"/>
          <w:p w14:paraId="5D61FFB0" w14:textId="77777777" w:rsidR="000A6CE5" w:rsidRDefault="000A6CE5" w:rsidP="00972F36"/>
          <w:p w14:paraId="139AE6F8" w14:textId="77777777" w:rsidR="000A6CE5" w:rsidRDefault="000A6CE5" w:rsidP="00972F36"/>
        </w:tc>
        <w:tc>
          <w:tcPr>
            <w:tcW w:w="2516" w:type="dxa"/>
          </w:tcPr>
          <w:p w14:paraId="389B7E61" w14:textId="77777777" w:rsidR="000A6CE5" w:rsidRDefault="000A6CE5" w:rsidP="00972F36"/>
        </w:tc>
        <w:tc>
          <w:tcPr>
            <w:tcW w:w="2249" w:type="dxa"/>
          </w:tcPr>
          <w:p w14:paraId="404C1140" w14:textId="77777777" w:rsidR="000A6CE5" w:rsidRDefault="000A6CE5" w:rsidP="00972F36"/>
        </w:tc>
      </w:tr>
      <w:tr w:rsidR="000A6CE5" w14:paraId="04F59017" w14:textId="77777777" w:rsidTr="00972F36">
        <w:tc>
          <w:tcPr>
            <w:tcW w:w="1345" w:type="dxa"/>
            <w:vAlign w:val="center"/>
          </w:tcPr>
          <w:p w14:paraId="1A690859" w14:textId="77777777" w:rsidR="000A6CE5" w:rsidRPr="00EC4A2F" w:rsidRDefault="000A6CE5" w:rsidP="00972F36">
            <w:pPr>
              <w:jc w:val="center"/>
              <w:rPr>
                <w:vertAlign w:val="subscript"/>
              </w:rPr>
            </w:pPr>
            <w:r>
              <w:t>NO</w:t>
            </w:r>
            <w:r>
              <w:rPr>
                <w:vertAlign w:val="subscript"/>
              </w:rPr>
              <w:t>2</w:t>
            </w:r>
          </w:p>
        </w:tc>
        <w:tc>
          <w:tcPr>
            <w:tcW w:w="2880" w:type="dxa"/>
          </w:tcPr>
          <w:p w14:paraId="4A720883" w14:textId="77777777" w:rsidR="000A6CE5" w:rsidRDefault="000A6CE5" w:rsidP="00972F36"/>
          <w:p w14:paraId="62999045" w14:textId="77777777" w:rsidR="000A6CE5" w:rsidRDefault="000A6CE5" w:rsidP="00972F36"/>
          <w:p w14:paraId="38409A15" w14:textId="77777777" w:rsidR="000A6CE5" w:rsidRDefault="000A6CE5" w:rsidP="00972F36"/>
          <w:p w14:paraId="2163EA80" w14:textId="77777777" w:rsidR="000A6CE5" w:rsidRDefault="000A6CE5" w:rsidP="00972F36"/>
        </w:tc>
        <w:tc>
          <w:tcPr>
            <w:tcW w:w="2516" w:type="dxa"/>
          </w:tcPr>
          <w:p w14:paraId="1128064C" w14:textId="77777777" w:rsidR="000A6CE5" w:rsidRDefault="000A6CE5" w:rsidP="00972F36"/>
        </w:tc>
        <w:tc>
          <w:tcPr>
            <w:tcW w:w="2249" w:type="dxa"/>
          </w:tcPr>
          <w:p w14:paraId="47864443" w14:textId="77777777" w:rsidR="000A6CE5" w:rsidRDefault="000A6CE5" w:rsidP="00972F36"/>
        </w:tc>
      </w:tr>
    </w:tbl>
    <w:p w14:paraId="365B4439" w14:textId="77777777" w:rsidR="000C5F69" w:rsidRDefault="000C5F69" w:rsidP="008156D7">
      <w:pPr>
        <w:rPr>
          <w:b/>
          <w:sz w:val="28"/>
          <w:szCs w:val="28"/>
        </w:rPr>
      </w:pPr>
      <w:r>
        <w:rPr>
          <w:rStyle w:val="CommentReference"/>
        </w:rPr>
        <w:commentReference w:id="5"/>
      </w:r>
    </w:p>
    <w:p w14:paraId="5BA57C59" w14:textId="790E37EE" w:rsidR="000A6CE5" w:rsidRPr="008156D7" w:rsidRDefault="00460387" w:rsidP="008156D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Part 3: </w:t>
      </w:r>
      <w:r w:rsidR="008156D7">
        <w:rPr>
          <w:b/>
          <w:sz w:val="28"/>
          <w:szCs w:val="28"/>
        </w:rPr>
        <w:t xml:space="preserve">Infrared Spectroscopy of </w:t>
      </w:r>
      <w:commentRangeStart w:id="6"/>
      <w:r w:rsidR="008156D7">
        <w:rPr>
          <w:b/>
          <w:sz w:val="28"/>
          <w:szCs w:val="28"/>
        </w:rPr>
        <w:t>Ligands</w:t>
      </w:r>
      <w:commentRangeEnd w:id="6"/>
      <w:r w:rsidR="000C5F69">
        <w:rPr>
          <w:rStyle w:val="CommentReference"/>
        </w:rPr>
        <w:commentReference w:id="6"/>
      </w:r>
    </w:p>
    <w:p w14:paraId="76A052CC" w14:textId="2892F595" w:rsidR="000A6CE5" w:rsidRPr="00460387" w:rsidRDefault="000A6CE5" w:rsidP="00460387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 w:rsidRPr="00460387">
        <w:rPr>
          <w:sz w:val="24"/>
          <w:szCs w:val="24"/>
        </w:rPr>
        <w:t xml:space="preserve">Consult the reference by </w:t>
      </w:r>
      <w:commentRangeStart w:id="7"/>
      <w:proofErr w:type="spellStart"/>
      <w:r w:rsidRPr="00460387">
        <w:rPr>
          <w:sz w:val="24"/>
          <w:szCs w:val="24"/>
        </w:rPr>
        <w:t>Penland</w:t>
      </w:r>
      <w:proofErr w:type="spellEnd"/>
      <w:r w:rsidRPr="00460387">
        <w:rPr>
          <w:sz w:val="24"/>
          <w:szCs w:val="24"/>
        </w:rPr>
        <w:t xml:space="preserve"> </w:t>
      </w:r>
      <w:r w:rsidR="001D06C1" w:rsidRPr="00460387">
        <w:rPr>
          <w:i/>
          <w:sz w:val="24"/>
          <w:szCs w:val="24"/>
        </w:rPr>
        <w:t>et</w:t>
      </w:r>
      <w:r w:rsidRPr="00460387">
        <w:rPr>
          <w:i/>
          <w:sz w:val="24"/>
          <w:szCs w:val="24"/>
        </w:rPr>
        <w:t xml:space="preserve"> al.</w:t>
      </w:r>
      <w:r w:rsidR="001D06C1" w:rsidRPr="00460387">
        <w:rPr>
          <w:sz w:val="24"/>
          <w:szCs w:val="24"/>
        </w:rPr>
        <w:t xml:space="preserve"> (1956)</w:t>
      </w:r>
      <w:r w:rsidRPr="00460387">
        <w:rPr>
          <w:sz w:val="24"/>
          <w:szCs w:val="24"/>
        </w:rPr>
        <w:t xml:space="preserve"> </w:t>
      </w:r>
      <w:commentRangeEnd w:id="7"/>
      <w:r w:rsidR="005E6E38">
        <w:rPr>
          <w:rStyle w:val="CommentReference"/>
        </w:rPr>
        <w:commentReference w:id="7"/>
      </w:r>
      <w:r w:rsidRPr="00460387">
        <w:rPr>
          <w:sz w:val="24"/>
          <w:szCs w:val="24"/>
        </w:rPr>
        <w:t>to fill in the missing vibrational energies.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A6CE5" w14:paraId="7E9C13EC" w14:textId="77777777" w:rsidTr="00972F36">
        <w:tc>
          <w:tcPr>
            <w:tcW w:w="3116" w:type="dxa"/>
            <w:tcBorders>
              <w:bottom w:val="single" w:sz="4" w:space="0" w:color="auto"/>
            </w:tcBorders>
          </w:tcPr>
          <w:p w14:paraId="7F954E99" w14:textId="77777777" w:rsidR="000A6CE5" w:rsidRPr="004C6339" w:rsidRDefault="000A6CE5" w:rsidP="00972F36">
            <w:r>
              <w:t>NO</w:t>
            </w:r>
            <w:r>
              <w:rPr>
                <w:vertAlign w:val="subscript"/>
              </w:rPr>
              <w:t>2</w:t>
            </w:r>
            <w:r>
              <w:t xml:space="preserve"> gas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1DF53267" w14:textId="77777777" w:rsidR="000A6CE5" w:rsidRDefault="000A6CE5" w:rsidP="00972F36"/>
        </w:tc>
        <w:tc>
          <w:tcPr>
            <w:tcW w:w="3117" w:type="dxa"/>
            <w:tcBorders>
              <w:bottom w:val="single" w:sz="4" w:space="0" w:color="auto"/>
            </w:tcBorders>
          </w:tcPr>
          <w:p w14:paraId="629B65C5" w14:textId="77777777" w:rsidR="000A6CE5" w:rsidRDefault="000A6CE5" w:rsidP="00972F36"/>
        </w:tc>
      </w:tr>
      <w:tr w:rsidR="000A6CE5" w14:paraId="6F257FD6" w14:textId="77777777" w:rsidTr="00972F36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5160" w14:textId="77777777" w:rsidR="000A6CE5" w:rsidRDefault="000A6CE5" w:rsidP="00972F36">
            <w:r>
              <w:t>N—O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A777" w14:textId="77777777" w:rsidR="000A6CE5" w:rsidRDefault="000A6CE5" w:rsidP="00972F36">
            <w:r>
              <w:t>Asymmetric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86708" w14:textId="77777777" w:rsidR="000A6CE5" w:rsidRPr="00425420" w:rsidRDefault="000A6CE5" w:rsidP="00972F36">
            <w:pPr>
              <w:rPr>
                <w:vertAlign w:val="superscript"/>
              </w:rPr>
            </w:pPr>
            <w:r>
              <w:t>1671 cm</w:t>
            </w:r>
            <w:r>
              <w:rPr>
                <w:vertAlign w:val="superscript"/>
              </w:rPr>
              <w:t>-1</w:t>
            </w:r>
          </w:p>
        </w:tc>
      </w:tr>
      <w:tr w:rsidR="000A6CE5" w14:paraId="58E09A43" w14:textId="77777777" w:rsidTr="00972F36">
        <w:tc>
          <w:tcPr>
            <w:tcW w:w="31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CA61E18" w14:textId="77777777" w:rsidR="000A6CE5" w:rsidRDefault="000A6CE5" w:rsidP="00972F36">
            <w:r>
              <w:t>N—O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DD412E" w14:textId="77777777" w:rsidR="000A6CE5" w:rsidRDefault="000A6CE5" w:rsidP="00972F36">
            <w:r>
              <w:t>Symmetric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21A5FF8" w14:textId="77777777" w:rsidR="000A6CE5" w:rsidRPr="00425420" w:rsidRDefault="000A6CE5" w:rsidP="00972F36">
            <w:pPr>
              <w:rPr>
                <w:vertAlign w:val="superscript"/>
              </w:rPr>
            </w:pPr>
            <w:r>
              <w:t>1353 cm</w:t>
            </w:r>
            <w:r>
              <w:rPr>
                <w:vertAlign w:val="superscript"/>
              </w:rPr>
              <w:t>-1</w:t>
            </w:r>
          </w:p>
        </w:tc>
      </w:tr>
      <w:tr w:rsidR="000A6CE5" w14:paraId="7165AE04" w14:textId="77777777" w:rsidTr="00972F36">
        <w:trPr>
          <w:trHeight w:val="432"/>
        </w:trPr>
        <w:tc>
          <w:tcPr>
            <w:tcW w:w="311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B8AEF21" w14:textId="77777777" w:rsidR="000A6CE5" w:rsidRPr="00DA2D74" w:rsidRDefault="000A6CE5" w:rsidP="00972F36">
            <w:pPr>
              <w:rPr>
                <w:vertAlign w:val="superscript"/>
              </w:rPr>
            </w:pPr>
            <w:r>
              <w:t>Co(NH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5</w:t>
            </w:r>
            <w:r>
              <w:t>(NO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perscript"/>
              </w:rPr>
              <w:t>2+</w:t>
            </w:r>
          </w:p>
        </w:tc>
        <w:tc>
          <w:tcPr>
            <w:tcW w:w="3117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C04A951" w14:textId="77777777" w:rsidR="000A6CE5" w:rsidRDefault="000A6CE5" w:rsidP="00972F36"/>
        </w:tc>
        <w:tc>
          <w:tcPr>
            <w:tcW w:w="3117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39E06A95" w14:textId="77777777" w:rsidR="000A6CE5" w:rsidRDefault="000A6CE5" w:rsidP="00972F36"/>
        </w:tc>
      </w:tr>
      <w:tr w:rsidR="000A6CE5" w14:paraId="2CCFE093" w14:textId="77777777" w:rsidTr="00972F36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D220" w14:textId="77777777" w:rsidR="000A6CE5" w:rsidRDefault="000A6CE5" w:rsidP="00972F36">
            <w:r>
              <w:t>N—O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0D6F" w14:textId="77777777" w:rsidR="000A6CE5" w:rsidRDefault="000A6CE5" w:rsidP="00972F36">
            <w:r>
              <w:t>Asymmetric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B462C" w14:textId="77777777" w:rsidR="000A6CE5" w:rsidRDefault="000A6CE5" w:rsidP="00972F36"/>
        </w:tc>
      </w:tr>
      <w:tr w:rsidR="000A6CE5" w14:paraId="474058A6" w14:textId="77777777" w:rsidTr="00972F36">
        <w:tc>
          <w:tcPr>
            <w:tcW w:w="31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DE73208" w14:textId="77777777" w:rsidR="000A6CE5" w:rsidRDefault="000A6CE5" w:rsidP="00972F36">
            <w:r>
              <w:t>N—O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9773372" w14:textId="77777777" w:rsidR="000A6CE5" w:rsidRDefault="000A6CE5" w:rsidP="00972F36">
            <w:r>
              <w:t>Symmetric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CFD94C0" w14:textId="77777777" w:rsidR="000A6CE5" w:rsidRDefault="000A6CE5" w:rsidP="00972F36"/>
        </w:tc>
      </w:tr>
      <w:tr w:rsidR="000A6CE5" w14:paraId="529C8A1A" w14:textId="77777777" w:rsidTr="00972F36">
        <w:trPr>
          <w:trHeight w:val="432"/>
        </w:trPr>
        <w:tc>
          <w:tcPr>
            <w:tcW w:w="3116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0A95BC6A" w14:textId="77777777" w:rsidR="000A6CE5" w:rsidRDefault="000A6CE5" w:rsidP="00972F36">
            <w:r>
              <w:t>Co(NH</w:t>
            </w:r>
            <w:r>
              <w:rPr>
                <w:vertAlign w:val="subscript"/>
              </w:rPr>
              <w:t>3</w:t>
            </w:r>
            <w:r>
              <w:t>)</w:t>
            </w:r>
            <w:r>
              <w:rPr>
                <w:vertAlign w:val="subscript"/>
              </w:rPr>
              <w:t>5</w:t>
            </w:r>
            <w:r>
              <w:t>(ONO)</w:t>
            </w:r>
            <w:r>
              <w:rPr>
                <w:vertAlign w:val="superscript"/>
              </w:rPr>
              <w:t>2+</w:t>
            </w:r>
          </w:p>
        </w:tc>
        <w:tc>
          <w:tcPr>
            <w:tcW w:w="3117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2D69D566" w14:textId="77777777" w:rsidR="000A6CE5" w:rsidRDefault="000A6CE5" w:rsidP="00972F36"/>
        </w:tc>
        <w:tc>
          <w:tcPr>
            <w:tcW w:w="3117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14:paraId="502C67F2" w14:textId="77777777" w:rsidR="000A6CE5" w:rsidRDefault="000A6CE5" w:rsidP="00972F36"/>
        </w:tc>
      </w:tr>
      <w:tr w:rsidR="000A6CE5" w14:paraId="1514BFE9" w14:textId="77777777" w:rsidTr="00972F36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E375" w14:textId="77777777" w:rsidR="000A6CE5" w:rsidRDefault="000A6CE5" w:rsidP="00972F36">
            <w:r>
              <w:t>N—O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DB71" w14:textId="77777777" w:rsidR="000A6CE5" w:rsidRDefault="000A6CE5" w:rsidP="00972F36">
            <w:r>
              <w:t>Asymmetric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835305" w14:textId="77777777" w:rsidR="000A6CE5" w:rsidRDefault="000A6CE5" w:rsidP="00972F36"/>
        </w:tc>
      </w:tr>
      <w:tr w:rsidR="000A6CE5" w14:paraId="1680C651" w14:textId="77777777" w:rsidTr="00972F36">
        <w:tc>
          <w:tcPr>
            <w:tcW w:w="31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12FFFF" w14:textId="77777777" w:rsidR="000A6CE5" w:rsidRDefault="000A6CE5" w:rsidP="00972F36">
            <w:r>
              <w:t>N—O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F3B5DF" w14:textId="77777777" w:rsidR="000A6CE5" w:rsidRDefault="000A6CE5" w:rsidP="00972F36">
            <w:r>
              <w:t>Symmetric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F951CDA" w14:textId="77777777" w:rsidR="000A6CE5" w:rsidRDefault="000A6CE5" w:rsidP="00972F36"/>
        </w:tc>
      </w:tr>
    </w:tbl>
    <w:p w14:paraId="6544D349" w14:textId="77777777" w:rsidR="000A6CE5" w:rsidRDefault="000A6CE5" w:rsidP="000A6CE5">
      <w:pPr>
        <w:rPr>
          <w:sz w:val="24"/>
          <w:szCs w:val="24"/>
        </w:rPr>
      </w:pPr>
    </w:p>
    <w:p w14:paraId="2D8B86A3" w14:textId="4867B391" w:rsidR="00460387" w:rsidRPr="00460387" w:rsidRDefault="00460387" w:rsidP="00460387">
      <w:pPr>
        <w:pStyle w:val="ListParagraph"/>
        <w:numPr>
          <w:ilvl w:val="0"/>
          <w:numId w:val="4"/>
        </w:numPr>
        <w:rPr>
          <w:sz w:val="24"/>
          <w:szCs w:val="24"/>
        </w:rPr>
      </w:pPr>
      <w:commentRangeStart w:id="8"/>
      <w:r>
        <w:rPr>
          <w:sz w:val="24"/>
          <w:szCs w:val="24"/>
        </w:rPr>
        <w:t>Coordination</w:t>
      </w:r>
      <w:commentRangeEnd w:id="8"/>
      <w:r w:rsidR="00EC53B3">
        <w:rPr>
          <w:rStyle w:val="CommentReference"/>
        </w:rPr>
        <w:commentReference w:id="8"/>
      </w:r>
      <w:r>
        <w:rPr>
          <w:sz w:val="24"/>
          <w:szCs w:val="24"/>
        </w:rPr>
        <w:t xml:space="preserve"> of a ligand to a metal leads to higher or lower vibrational energies compared to the free ligand?</w:t>
      </w:r>
      <w:r w:rsidR="005E6E38">
        <w:rPr>
          <w:sz w:val="24"/>
          <w:szCs w:val="24"/>
        </w:rPr>
        <w:t xml:space="preserve"> How is this explained?</w:t>
      </w:r>
    </w:p>
    <w:p w14:paraId="675410E5" w14:textId="77777777" w:rsidR="000A6CE5" w:rsidRDefault="000A6CE5" w:rsidP="000A6CE5">
      <w:pPr>
        <w:rPr>
          <w:sz w:val="24"/>
          <w:szCs w:val="24"/>
        </w:rPr>
      </w:pPr>
    </w:p>
    <w:p w14:paraId="4D6093A6" w14:textId="77777777" w:rsidR="005E6E38" w:rsidRDefault="005E6E38" w:rsidP="000A6CE5">
      <w:pPr>
        <w:rPr>
          <w:sz w:val="24"/>
          <w:szCs w:val="24"/>
        </w:rPr>
      </w:pPr>
    </w:p>
    <w:p w14:paraId="0D0D1635" w14:textId="77777777" w:rsidR="005E6E38" w:rsidRDefault="005E6E38" w:rsidP="000A6CE5">
      <w:pPr>
        <w:rPr>
          <w:sz w:val="24"/>
          <w:szCs w:val="24"/>
        </w:rPr>
      </w:pPr>
    </w:p>
    <w:p w14:paraId="1F191076" w14:textId="19048E80" w:rsidR="000A6CE5" w:rsidRPr="00460387" w:rsidRDefault="00460387" w:rsidP="004603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 4: </w:t>
      </w:r>
      <w:commentRangeStart w:id="9"/>
      <w:r w:rsidR="000A6CE5" w:rsidRPr="00460387">
        <w:rPr>
          <w:b/>
          <w:sz w:val="28"/>
          <w:szCs w:val="28"/>
        </w:rPr>
        <w:t>UV-Visible Absorbance Spectroscopy</w:t>
      </w:r>
      <w:commentRangeEnd w:id="9"/>
      <w:r w:rsidR="00EC53B3">
        <w:rPr>
          <w:rStyle w:val="CommentReference"/>
        </w:rPr>
        <w:commentReference w:id="9"/>
      </w:r>
    </w:p>
    <w:p w14:paraId="1F994E98" w14:textId="77777777" w:rsidR="00B23BC2" w:rsidRDefault="00B23BC2" w:rsidP="000A6CE5">
      <w:pPr>
        <w:rPr>
          <w:b/>
          <w:sz w:val="24"/>
          <w:szCs w:val="24"/>
        </w:rPr>
      </w:pPr>
    </w:p>
    <w:p w14:paraId="5768DAE2" w14:textId="77777777" w:rsidR="000A6CE5" w:rsidRDefault="000A6CE5" w:rsidP="000A6CE5">
      <w:pPr>
        <w:rPr>
          <w:b/>
          <w:sz w:val="24"/>
          <w:szCs w:val="24"/>
        </w:rPr>
      </w:pPr>
      <w:r>
        <w:rPr>
          <w:b/>
          <w:sz w:val="24"/>
          <w:szCs w:val="24"/>
        </w:rPr>
        <w:t>Electronic transitions in metal complexes</w:t>
      </w:r>
    </w:p>
    <w:p w14:paraId="6CA1FCBF" w14:textId="77777777" w:rsidR="000A6CE5" w:rsidRDefault="000A6CE5" w:rsidP="000A6CE5">
      <w:r>
        <w:t xml:space="preserve">Using your knowledge of the </w:t>
      </w:r>
      <w:commentRangeStart w:id="10"/>
      <w:proofErr w:type="spellStart"/>
      <w:r>
        <w:t>spectrochemical</w:t>
      </w:r>
      <w:proofErr w:type="spellEnd"/>
      <w:r>
        <w:t xml:space="preserve"> series</w:t>
      </w:r>
      <w:commentRangeEnd w:id="10"/>
      <w:r w:rsidR="007C532C">
        <w:rPr>
          <w:rStyle w:val="CommentReference"/>
        </w:rPr>
        <w:commentReference w:id="10"/>
      </w:r>
      <w:r>
        <w:t>, rank the energy of the d—d transition for the following cobalt</w:t>
      </w:r>
      <w:r w:rsidR="008156D7">
        <w:t>(III)</w:t>
      </w:r>
      <w:r>
        <w:t xml:space="preserve"> complexes.</w:t>
      </w:r>
    </w:p>
    <w:p w14:paraId="1D6A13C4" w14:textId="77777777" w:rsidR="000A6CE5" w:rsidRPr="008156D7" w:rsidRDefault="000A6CE5" w:rsidP="008156D7">
      <w:pPr>
        <w:pStyle w:val="ListParagraph"/>
      </w:pPr>
      <w:r>
        <w:t>[Co(H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6</w:t>
      </w:r>
      <w:r>
        <w:t>]</w:t>
      </w:r>
      <w:r w:rsidR="00304A3E">
        <w:rPr>
          <w:vertAlign w:val="superscript"/>
        </w:rPr>
        <w:t>3</w:t>
      </w:r>
      <w:r>
        <w:rPr>
          <w:vertAlign w:val="superscript"/>
        </w:rPr>
        <w:t>+</w:t>
      </w:r>
      <w:r>
        <w:t>, [Co(ONO)</w:t>
      </w:r>
      <w:r>
        <w:rPr>
          <w:vertAlign w:val="subscript"/>
        </w:rPr>
        <w:t>6</w:t>
      </w:r>
      <w:r>
        <w:t>]</w:t>
      </w:r>
      <w:r w:rsidR="008156D7">
        <w:rPr>
          <w:vertAlign w:val="superscript"/>
        </w:rPr>
        <w:t>3-</w:t>
      </w:r>
      <w:r>
        <w:t>, [Co(NO</w:t>
      </w:r>
      <w:r>
        <w:rPr>
          <w:vertAlign w:val="subscript"/>
        </w:rPr>
        <w:t>2</w:t>
      </w:r>
      <w:r>
        <w:t>)</w:t>
      </w:r>
      <w:r>
        <w:rPr>
          <w:vertAlign w:val="subscript"/>
        </w:rPr>
        <w:t>6</w:t>
      </w:r>
      <w:r>
        <w:t>]</w:t>
      </w:r>
      <w:r w:rsidR="008156D7">
        <w:rPr>
          <w:vertAlign w:val="superscript"/>
        </w:rPr>
        <w:t>3-</w:t>
      </w:r>
      <w:r w:rsidR="00304A3E">
        <w:t>,</w:t>
      </w:r>
      <w:r>
        <w:t xml:space="preserve"> </w:t>
      </w:r>
      <w:r w:rsidR="00304A3E">
        <w:t>[Co(NH</w:t>
      </w:r>
      <w:r w:rsidR="00304A3E">
        <w:rPr>
          <w:vertAlign w:val="subscript"/>
        </w:rPr>
        <w:t>3</w:t>
      </w:r>
      <w:r w:rsidR="00304A3E">
        <w:t>)</w:t>
      </w:r>
      <w:r w:rsidR="00304A3E">
        <w:rPr>
          <w:vertAlign w:val="subscript"/>
        </w:rPr>
        <w:t>6</w:t>
      </w:r>
      <w:r w:rsidR="00304A3E">
        <w:t>]</w:t>
      </w:r>
      <w:r w:rsidR="00304A3E">
        <w:rPr>
          <w:vertAlign w:val="superscript"/>
        </w:rPr>
        <w:t>3+</w:t>
      </w:r>
    </w:p>
    <w:p w14:paraId="0984FABB" w14:textId="77777777" w:rsidR="008156D7" w:rsidRDefault="008156D7" w:rsidP="000A6CE5">
      <w:pPr>
        <w:ind w:left="360"/>
        <w:rPr>
          <w:sz w:val="24"/>
          <w:szCs w:val="24"/>
        </w:rPr>
      </w:pPr>
    </w:p>
    <w:p w14:paraId="1FE4EEEC" w14:textId="77777777" w:rsidR="000A6CE5" w:rsidRDefault="000A6CE5" w:rsidP="000A6CE5"/>
    <w:p w14:paraId="2CAE8BC8" w14:textId="77777777" w:rsidR="00B23BC2" w:rsidRDefault="00B23BC2" w:rsidP="000A6CE5"/>
    <w:p w14:paraId="27ABBE0C" w14:textId="77777777" w:rsidR="00460387" w:rsidRDefault="00460387" w:rsidP="000A6CE5"/>
    <w:p w14:paraId="02A69A5F" w14:textId="77777777" w:rsidR="00460387" w:rsidRDefault="00460387" w:rsidP="000A6CE5"/>
    <w:p w14:paraId="4C7CD0FA" w14:textId="77777777" w:rsidR="00460387" w:rsidRDefault="00460387" w:rsidP="000A6CE5"/>
    <w:p w14:paraId="6B69F5F0" w14:textId="77777777" w:rsidR="00460387" w:rsidRDefault="00460387" w:rsidP="000A6CE5"/>
    <w:p w14:paraId="5B0CF757" w14:textId="77777777" w:rsidR="00460387" w:rsidRDefault="00460387" w:rsidP="000A6CE5"/>
    <w:p w14:paraId="7AC0CF99" w14:textId="7DCFC0D4" w:rsidR="000A6CE5" w:rsidRPr="00460387" w:rsidRDefault="00460387" w:rsidP="0046038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Part 5: </w:t>
      </w:r>
      <w:commentRangeStart w:id="11"/>
      <w:r w:rsidR="000A6CE5" w:rsidRPr="00460387">
        <w:rPr>
          <w:b/>
          <w:sz w:val="28"/>
          <w:szCs w:val="28"/>
        </w:rPr>
        <w:t>Designing an Experiment</w:t>
      </w:r>
      <w:commentRangeEnd w:id="11"/>
      <w:r w:rsidR="00E75F98">
        <w:rPr>
          <w:rStyle w:val="CommentReference"/>
        </w:rPr>
        <w:commentReference w:id="11"/>
      </w:r>
    </w:p>
    <w:p w14:paraId="3DDAD4E7" w14:textId="49FCFD7A" w:rsidR="00E75F98" w:rsidRDefault="000A6CE5" w:rsidP="00E75F98">
      <w:pPr>
        <w:ind w:left="360"/>
      </w:pPr>
      <w:r>
        <w:t xml:space="preserve">Based on your answers above, </w:t>
      </w:r>
      <w:r w:rsidR="00C400E5" w:rsidRPr="00393CD4">
        <w:t>design a</w:t>
      </w:r>
      <w:r w:rsidRPr="003D70EF">
        <w:t xml:space="preserve"> </w:t>
      </w:r>
      <w:r w:rsidR="00393CD4">
        <w:t xml:space="preserve">set of </w:t>
      </w:r>
      <w:r w:rsidRPr="003D70EF">
        <w:t>spectroscopic experiment</w:t>
      </w:r>
      <w:r w:rsidR="00393CD4">
        <w:t>s</w:t>
      </w:r>
      <w:r w:rsidR="00EC53B3">
        <w:t xml:space="preserve"> according to the guidelines below</w:t>
      </w:r>
      <w:r>
        <w:t xml:space="preserve"> to determine if the following reaction goes to completion. </w:t>
      </w:r>
      <w:r w:rsidR="00E75F98">
        <w:t>Assume that the counter ion of the complex does not affect the spectroscopic properties and that Fe(III) is low spin (d</w:t>
      </w:r>
      <w:r w:rsidR="00E75F98">
        <w:rPr>
          <w:vertAlign w:val="superscript"/>
        </w:rPr>
        <w:t>5</w:t>
      </w:r>
      <w:r w:rsidR="00E75F98">
        <w:t>).</w:t>
      </w:r>
    </w:p>
    <w:p w14:paraId="51E92C06" w14:textId="436DBC5C" w:rsidR="000A6CE5" w:rsidRDefault="000A6CE5" w:rsidP="000A6CE5">
      <w:pPr>
        <w:ind w:left="360"/>
        <w:jc w:val="both"/>
      </w:pPr>
    </w:p>
    <w:p w14:paraId="63DFE7D7" w14:textId="107067C5" w:rsidR="00EC53B3" w:rsidRDefault="00E75F98" w:rsidP="00EC53B3">
      <w:pPr>
        <w:pStyle w:val="ListParagraph"/>
        <w:numPr>
          <w:ilvl w:val="0"/>
          <w:numId w:val="5"/>
        </w:numPr>
        <w:jc w:val="both"/>
      </w:pPr>
      <w:r>
        <w:t>Identify</w:t>
      </w:r>
      <w:r w:rsidR="00393CD4">
        <w:t xml:space="preserve"> a relevant spectroscopy technique</w:t>
      </w:r>
    </w:p>
    <w:p w14:paraId="0F8E8AEB" w14:textId="7D3AD3BD" w:rsidR="00E75F98" w:rsidRDefault="00393CD4" w:rsidP="00EC53B3">
      <w:pPr>
        <w:pStyle w:val="ListParagraph"/>
        <w:numPr>
          <w:ilvl w:val="0"/>
          <w:numId w:val="5"/>
        </w:numPr>
        <w:jc w:val="both"/>
      </w:pPr>
      <w:r>
        <w:t>For that technique</w:t>
      </w:r>
      <w:r w:rsidR="00E75F98">
        <w:t>, give details about what you expect the data to reveal</w:t>
      </w:r>
    </w:p>
    <w:p w14:paraId="7FBC2268" w14:textId="00A39FF4" w:rsidR="00E75F98" w:rsidRDefault="00E75F98" w:rsidP="00EC53B3">
      <w:pPr>
        <w:pStyle w:val="ListParagraph"/>
        <w:numPr>
          <w:ilvl w:val="0"/>
          <w:numId w:val="5"/>
        </w:numPr>
        <w:jc w:val="both"/>
      </w:pPr>
      <w:r>
        <w:t>Explain how the data will change for each complex in the reaction</w:t>
      </w:r>
    </w:p>
    <w:p w14:paraId="29CEE13D" w14:textId="77777777" w:rsidR="00E75F98" w:rsidRDefault="00E75F98" w:rsidP="00E75F98">
      <w:pPr>
        <w:pStyle w:val="ListParagraph"/>
        <w:jc w:val="both"/>
      </w:pPr>
    </w:p>
    <w:commentRangeStart w:id="12"/>
    <w:p w14:paraId="5E8FF981" w14:textId="77777777" w:rsidR="00E75F98" w:rsidRDefault="000A6CE5" w:rsidP="00E75F98">
      <w:pPr>
        <w:ind w:left="360"/>
      </w:pPr>
      <w:r>
        <w:object w:dxaOrig="11912" w:dyaOrig="3243" w14:anchorId="63FE9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25pt;height:124.35pt" o:ole="">
            <v:imagedata r:id="rId13" o:title=""/>
          </v:shape>
          <o:OLEObject Type="Embed" ProgID="ChemDraw.Document.6.0" ShapeID="_x0000_i1025" DrawAspect="Content" ObjectID="_1459963426" r:id="rId14"/>
        </w:object>
      </w:r>
      <w:commentRangeEnd w:id="12"/>
      <w:r w:rsidR="00E75F98">
        <w:rPr>
          <w:rStyle w:val="CommentReference"/>
        </w:rPr>
        <w:commentReference w:id="12"/>
      </w:r>
      <w:r w:rsidR="00E75F98" w:rsidRPr="00E75F98">
        <w:t xml:space="preserve"> </w:t>
      </w:r>
    </w:p>
    <w:p w14:paraId="434F9B29" w14:textId="77777777" w:rsidR="000A6CE5" w:rsidRDefault="000A6CE5" w:rsidP="000A6CE5">
      <w:pPr>
        <w:ind w:left="360"/>
      </w:pPr>
      <w:r>
        <w:t>Hint: You have the following materials at your disposal</w:t>
      </w:r>
    </w:p>
    <w:p w14:paraId="60004FD4" w14:textId="77777777" w:rsidR="000A6CE5" w:rsidRDefault="000A6CE5" w:rsidP="000A6CE5">
      <w:pPr>
        <w:ind w:left="360"/>
      </w:pPr>
      <w:r>
        <w:t>FeCl</w:t>
      </w:r>
      <w:r>
        <w:rPr>
          <w:vertAlign w:val="subscript"/>
        </w:rPr>
        <w:t>3</w:t>
      </w:r>
      <w:r>
        <w:t>, [Fe(bpy)</w:t>
      </w:r>
      <w:r>
        <w:rPr>
          <w:vertAlign w:val="subscript"/>
        </w:rPr>
        <w:t>3</w:t>
      </w:r>
      <w:r>
        <w:t>](PF</w:t>
      </w:r>
      <w:r>
        <w:rPr>
          <w:vertAlign w:val="subscript"/>
        </w:rPr>
        <w:t>6</w:t>
      </w:r>
      <w:r>
        <w:t>)</w:t>
      </w:r>
      <w:r>
        <w:rPr>
          <w:vertAlign w:val="subscript"/>
        </w:rPr>
        <w:t>3</w:t>
      </w:r>
      <w:r>
        <w:t>, KCN</w:t>
      </w:r>
    </w:p>
    <w:p w14:paraId="0703735A" w14:textId="77777777" w:rsidR="000A6CE5" w:rsidRDefault="000A6CE5" w:rsidP="000A6CE5">
      <w:pPr>
        <w:ind w:left="360"/>
      </w:pPr>
    </w:p>
    <w:p w14:paraId="73F463ED" w14:textId="77777777" w:rsidR="000A6CE5" w:rsidRDefault="000A6CE5" w:rsidP="000A6CE5">
      <w:pPr>
        <w:rPr>
          <w:b/>
          <w:sz w:val="28"/>
          <w:szCs w:val="28"/>
        </w:rPr>
      </w:pPr>
    </w:p>
    <w:p w14:paraId="01AA7BC1" w14:textId="77777777" w:rsidR="000A6CE5" w:rsidRDefault="000A6CE5" w:rsidP="000A6CE5">
      <w:pPr>
        <w:rPr>
          <w:b/>
          <w:sz w:val="28"/>
          <w:szCs w:val="28"/>
        </w:rPr>
      </w:pPr>
    </w:p>
    <w:p w14:paraId="045A49F3" w14:textId="77777777" w:rsidR="00304A3E" w:rsidRDefault="00304A3E" w:rsidP="000A6CE5">
      <w:pPr>
        <w:rPr>
          <w:b/>
          <w:sz w:val="28"/>
          <w:szCs w:val="28"/>
        </w:rPr>
      </w:pPr>
    </w:p>
    <w:p w14:paraId="0AC26C4E" w14:textId="77777777" w:rsidR="00304A3E" w:rsidRDefault="00304A3E" w:rsidP="000A6CE5">
      <w:pPr>
        <w:rPr>
          <w:b/>
          <w:sz w:val="28"/>
          <w:szCs w:val="28"/>
        </w:rPr>
      </w:pPr>
    </w:p>
    <w:p w14:paraId="5FC19B3D" w14:textId="77777777" w:rsidR="00304A3E" w:rsidRDefault="00304A3E" w:rsidP="000A6CE5">
      <w:pPr>
        <w:rPr>
          <w:b/>
          <w:sz w:val="28"/>
          <w:szCs w:val="28"/>
        </w:rPr>
      </w:pPr>
    </w:p>
    <w:p w14:paraId="216D6820" w14:textId="77777777" w:rsidR="000A6CE5" w:rsidRDefault="00B23BC2" w:rsidP="000A6CE5">
      <w:pPr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0A6CE5">
        <w:rPr>
          <w:b/>
          <w:sz w:val="28"/>
          <w:szCs w:val="28"/>
        </w:rPr>
        <w:t>eferences</w:t>
      </w:r>
    </w:p>
    <w:p w14:paraId="7D405BDA" w14:textId="77777777" w:rsidR="000A6CE5" w:rsidRPr="00304A3E" w:rsidRDefault="000A6CE5" w:rsidP="000A6CE5">
      <w:pPr>
        <w:spacing w:after="0" w:line="240" w:lineRule="auto"/>
        <w:rPr>
          <w:rFonts w:eastAsia="Times New Roman" w:cs="Arial"/>
        </w:rPr>
      </w:pPr>
      <w:proofErr w:type="spellStart"/>
      <w:r w:rsidRPr="00304A3E">
        <w:rPr>
          <w:rFonts w:eastAsia="Times New Roman" w:cs="Arial"/>
        </w:rPr>
        <w:t>Penland</w:t>
      </w:r>
      <w:proofErr w:type="spellEnd"/>
      <w:r w:rsidRPr="00304A3E">
        <w:rPr>
          <w:rFonts w:eastAsia="Times New Roman" w:cs="Arial"/>
        </w:rPr>
        <w:t xml:space="preserve">, R. B.; Lane, T. J.; </w:t>
      </w:r>
      <w:proofErr w:type="spellStart"/>
      <w:r w:rsidRPr="00304A3E">
        <w:rPr>
          <w:rFonts w:eastAsia="Times New Roman" w:cs="Arial"/>
        </w:rPr>
        <w:t>Quagliano</w:t>
      </w:r>
      <w:proofErr w:type="spellEnd"/>
      <w:r w:rsidRPr="00304A3E">
        <w:rPr>
          <w:rFonts w:eastAsia="Times New Roman" w:cs="Arial"/>
        </w:rPr>
        <w:t xml:space="preserve">, J. V. Infrared Absorption Spectra of Inorganic Coordination Complexes. VII. Structural Isomerism of Nitro-and </w:t>
      </w:r>
      <w:proofErr w:type="spellStart"/>
      <w:r w:rsidRPr="00304A3E">
        <w:rPr>
          <w:rFonts w:eastAsia="Times New Roman" w:cs="Arial"/>
        </w:rPr>
        <w:t>Nitritopentamminecobalt</w:t>
      </w:r>
      <w:proofErr w:type="spellEnd"/>
      <w:r w:rsidRPr="00304A3E">
        <w:rPr>
          <w:rFonts w:eastAsia="Times New Roman" w:cs="Arial"/>
        </w:rPr>
        <w:t xml:space="preserve">(III) Chlorides. </w:t>
      </w:r>
      <w:r w:rsidRPr="00304A3E">
        <w:rPr>
          <w:rFonts w:eastAsia="Times New Roman" w:cs="Arial"/>
          <w:i/>
        </w:rPr>
        <w:t>J. Am. Chem. Soc.</w:t>
      </w:r>
      <w:r w:rsidRPr="00304A3E">
        <w:rPr>
          <w:rFonts w:eastAsia="Times New Roman" w:cs="Arial"/>
        </w:rPr>
        <w:t xml:space="preserve"> </w:t>
      </w:r>
      <w:r w:rsidRPr="00304A3E">
        <w:rPr>
          <w:rFonts w:eastAsia="Times New Roman" w:cs="Arial"/>
          <w:b/>
        </w:rPr>
        <w:t>1956</w:t>
      </w:r>
      <w:r w:rsidRPr="00304A3E">
        <w:rPr>
          <w:rFonts w:eastAsia="Times New Roman" w:cs="Arial"/>
        </w:rPr>
        <w:t xml:space="preserve">, </w:t>
      </w:r>
      <w:r w:rsidRPr="00304A3E">
        <w:rPr>
          <w:rFonts w:eastAsia="Times New Roman" w:cs="Arial"/>
          <w:i/>
        </w:rPr>
        <w:t>78</w:t>
      </w:r>
      <w:r w:rsidRPr="00304A3E">
        <w:rPr>
          <w:rFonts w:eastAsia="Times New Roman" w:cs="Arial"/>
        </w:rPr>
        <w:t>, 887.</w:t>
      </w:r>
    </w:p>
    <w:sectPr w:rsidR="000A6CE5" w:rsidRPr="00304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hor" w:initials="A">
    <w:p w14:paraId="0E3668B2" w14:textId="3C3EBE4C" w:rsidR="003D71D9" w:rsidRDefault="003D71D9">
      <w:pPr>
        <w:pStyle w:val="CommentText"/>
      </w:pPr>
      <w:r>
        <w:rPr>
          <w:rStyle w:val="CommentReference"/>
        </w:rPr>
        <w:annotationRef/>
      </w:r>
      <w:r>
        <w:t>This activity was designed for an upper-level inorganic chemistry class and is intended to follow the activity which explores the Molecules and Light simulation.</w:t>
      </w:r>
    </w:p>
  </w:comment>
  <w:comment w:id="1" w:author="Author" w:initials="A">
    <w:p w14:paraId="57B3DE08" w14:textId="657ACB9A" w:rsidR="00F57211" w:rsidRDefault="00721959">
      <w:pPr>
        <w:pStyle w:val="CommentText"/>
      </w:pPr>
      <w:r>
        <w:t xml:space="preserve">To encourage student participation during the lecture, </w:t>
      </w:r>
      <w:r w:rsidR="00F57211">
        <w:rPr>
          <w:rStyle w:val="CommentReference"/>
        </w:rPr>
        <w:annotationRef/>
      </w:r>
      <w:r>
        <w:t>the instructor</w:t>
      </w:r>
      <w:r w:rsidR="00C400E5">
        <w:t xml:space="preserve"> may ask about their answers to</w:t>
      </w:r>
      <w:r>
        <w:t xml:space="preserve"> this task when filling in the spectrum on slide #3.</w:t>
      </w:r>
    </w:p>
  </w:comment>
  <w:comment w:id="3" w:author="Author" w:initials="A">
    <w:p w14:paraId="66C1380D" w14:textId="4AB5CF25" w:rsidR="00EE4C10" w:rsidRDefault="00EE4C10">
      <w:pPr>
        <w:pStyle w:val="CommentText"/>
      </w:pPr>
      <w:r>
        <w:rPr>
          <w:rStyle w:val="CommentReference"/>
        </w:rPr>
        <w:annotationRef/>
      </w:r>
      <w:r>
        <w:t>Students may need reminded that the number of vibrational modes for linear molecules is 3N-5 and for nonlinear molecules is 3N-6</w:t>
      </w:r>
      <w:r w:rsidR="003D71D9">
        <w:t>.</w:t>
      </w:r>
    </w:p>
  </w:comment>
  <w:comment w:id="4" w:author="Author" w:initials="A">
    <w:p w14:paraId="424F8683" w14:textId="5C013BAD" w:rsidR="00EE4C10" w:rsidRDefault="00EE4C10">
      <w:pPr>
        <w:pStyle w:val="CommentText"/>
      </w:pPr>
      <w:r>
        <w:rPr>
          <w:rStyle w:val="CommentReference"/>
        </w:rPr>
        <w:annotationRef/>
      </w:r>
      <w:r>
        <w:t>Students may incorrectly answer that oxygen coordinates, when in fact carbon is the preferred coordinating atom since it has a -1 formal charge. Oxygen has a +1 formal charg</w:t>
      </w:r>
      <w:r w:rsidR="000C5F69">
        <w:t>e, making it electron deficient and a poor Lewis base.</w:t>
      </w:r>
    </w:p>
  </w:comment>
  <w:comment w:id="5" w:author="Author" w:initials="A">
    <w:p w14:paraId="66551985" w14:textId="0E6CDF80" w:rsidR="000C5F69" w:rsidRDefault="000C5F69">
      <w:pPr>
        <w:pStyle w:val="CommentText"/>
      </w:pPr>
      <w:r>
        <w:rPr>
          <w:rStyle w:val="CommentReference"/>
        </w:rPr>
        <w:annotationRef/>
      </w:r>
      <w:r w:rsidR="00951D6C">
        <w:rPr>
          <w:rStyle w:val="CommentReference"/>
        </w:rPr>
        <w:t xml:space="preserve">Before students begin Part #3, the instructor can </w:t>
      </w:r>
      <w:r w:rsidR="003E70A6" w:rsidRPr="00AA0EC3">
        <w:rPr>
          <w:rStyle w:val="CommentReference"/>
        </w:rPr>
        <w:t>facilitate</w:t>
      </w:r>
      <w:r w:rsidR="00951D6C">
        <w:rPr>
          <w:rStyle w:val="CommentReference"/>
        </w:rPr>
        <w:t xml:space="preserve"> </w:t>
      </w:r>
      <w:r>
        <w:rPr>
          <w:rStyle w:val="CommentReference"/>
        </w:rPr>
        <w:t xml:space="preserve">slides #1–5. </w:t>
      </w:r>
      <w:r w:rsidR="00C400E5">
        <w:rPr>
          <w:rStyle w:val="CommentReference"/>
        </w:rPr>
        <w:t xml:space="preserve">Note: the third vibration for NO2 (bending) was omitted because the value is not reported in the reference for the </w:t>
      </w:r>
      <w:proofErr w:type="spellStart"/>
      <w:r w:rsidR="00C400E5">
        <w:rPr>
          <w:rStyle w:val="CommentReference"/>
        </w:rPr>
        <w:t>nitrito</w:t>
      </w:r>
      <w:proofErr w:type="spellEnd"/>
      <w:r w:rsidR="00C400E5">
        <w:rPr>
          <w:rStyle w:val="CommentReference"/>
        </w:rPr>
        <w:t xml:space="preserve"> isomer.</w:t>
      </w:r>
    </w:p>
  </w:comment>
  <w:comment w:id="6" w:author="Author" w:initials="A">
    <w:p w14:paraId="1FF97C0B" w14:textId="479FC40A" w:rsidR="00AA0EC3" w:rsidRPr="003E70A6" w:rsidRDefault="000C5F69" w:rsidP="00AA0EC3">
      <w:pPr>
        <w:pStyle w:val="CommentText"/>
        <w:rPr>
          <w:color w:val="FF0000"/>
        </w:rPr>
      </w:pPr>
      <w:r>
        <w:rPr>
          <w:rStyle w:val="CommentReference"/>
        </w:rPr>
        <w:annotationRef/>
      </w:r>
      <w:r>
        <w:rPr>
          <w:rStyle w:val="CommentReference"/>
        </w:rPr>
        <w:t>In order to make this t</w:t>
      </w:r>
      <w:r w:rsidR="001F5EC5">
        <w:rPr>
          <w:rStyle w:val="CommentReference"/>
        </w:rPr>
        <w:t>ask more interactive</w:t>
      </w:r>
      <w:r w:rsidR="003D71D9">
        <w:rPr>
          <w:rStyle w:val="CommentReference"/>
        </w:rPr>
        <w:t xml:space="preserve">, students may </w:t>
      </w:r>
      <w:r>
        <w:rPr>
          <w:rStyle w:val="CommentReference"/>
        </w:rPr>
        <w:t>write the missing values on the chalkboard</w:t>
      </w:r>
      <w:r w:rsidR="00AA0EC3">
        <w:rPr>
          <w:rStyle w:val="CommentReference"/>
        </w:rPr>
        <w:t>.</w:t>
      </w:r>
    </w:p>
    <w:p w14:paraId="55B7CC07" w14:textId="01C6F3F7" w:rsidR="000C5F69" w:rsidRPr="003E70A6" w:rsidRDefault="000C5F69">
      <w:pPr>
        <w:pStyle w:val="CommentText"/>
        <w:rPr>
          <w:color w:val="FF0000"/>
        </w:rPr>
      </w:pPr>
    </w:p>
  </w:comment>
  <w:comment w:id="7" w:author="Author" w:initials="A">
    <w:p w14:paraId="1CD59E83" w14:textId="72197552" w:rsidR="005E6E38" w:rsidRDefault="005E6E38">
      <w:pPr>
        <w:pStyle w:val="CommentText"/>
      </w:pPr>
      <w:r>
        <w:rPr>
          <w:rStyle w:val="CommentReference"/>
        </w:rPr>
        <w:annotationRef/>
      </w:r>
      <w:r w:rsidR="001F5EC5">
        <w:rPr>
          <w:rStyle w:val="CommentReference"/>
        </w:rPr>
        <w:t>Students</w:t>
      </w:r>
      <w:r w:rsidR="001F5EC5" w:rsidRPr="00AA0EC3">
        <w:rPr>
          <w:rStyle w:val="CommentReference"/>
        </w:rPr>
        <w:t xml:space="preserve"> </w:t>
      </w:r>
      <w:r w:rsidR="003E70A6" w:rsidRPr="00AA0EC3">
        <w:rPr>
          <w:rStyle w:val="CommentReference"/>
        </w:rPr>
        <w:t>will</w:t>
      </w:r>
      <w:r w:rsidR="003E70A6">
        <w:rPr>
          <w:rStyle w:val="CommentReference"/>
          <w:b/>
        </w:rPr>
        <w:t xml:space="preserve"> </w:t>
      </w:r>
      <w:r w:rsidR="001F5EC5">
        <w:rPr>
          <w:rStyle w:val="CommentReference"/>
        </w:rPr>
        <w:t>also refer to this article while performing</w:t>
      </w:r>
      <w:r w:rsidR="001F5EC5">
        <w:t xml:space="preserve"> the Linkage Isomerization laboratory</w:t>
      </w:r>
      <w:r>
        <w:t xml:space="preserve">. </w:t>
      </w:r>
      <w:r w:rsidR="003D71D9">
        <w:t>Students should be instructed to bring this article to class.</w:t>
      </w:r>
    </w:p>
  </w:comment>
  <w:comment w:id="8" w:author="Author" w:initials="A">
    <w:p w14:paraId="382B2C32" w14:textId="7E23BEB8" w:rsidR="00EC53B3" w:rsidRDefault="00EC53B3">
      <w:pPr>
        <w:pStyle w:val="CommentText"/>
      </w:pPr>
      <w:r>
        <w:rPr>
          <w:rStyle w:val="CommentReference"/>
        </w:rPr>
        <w:annotationRef/>
      </w:r>
      <w:r>
        <w:t>After students complete the table in Part 3A, this is a good time for the instructor to discuss the trend observed in the data. Students may have trouble arriving at an explanation on their own</w:t>
      </w:r>
      <w:r w:rsidR="00C400E5">
        <w:t xml:space="preserve"> for Part 3B</w:t>
      </w:r>
      <w:r>
        <w:t>, so slide #5 can be used to guide the discussion.</w:t>
      </w:r>
    </w:p>
  </w:comment>
  <w:comment w:id="9" w:author="Author" w:initials="A">
    <w:p w14:paraId="10F89302" w14:textId="3C588903" w:rsidR="00EC53B3" w:rsidRDefault="00EC53B3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The instructor can present</w:t>
      </w:r>
      <w:r>
        <w:t xml:space="preserve"> slide #6 to transition from the spectroscopy of ligands (vibrational) to the spectroscopy of </w:t>
      </w:r>
      <w:r w:rsidR="00C400E5">
        <w:t xml:space="preserve">inorganic </w:t>
      </w:r>
      <w:r>
        <w:t>complexes (electronic absorbance). Then, students can continue to Parts 4 &amp; 5, completing them in their small groups.</w:t>
      </w:r>
    </w:p>
  </w:comment>
  <w:comment w:id="10" w:author="Author" w:initials="A">
    <w:p w14:paraId="7B0923DF" w14:textId="3978B929" w:rsidR="007C532C" w:rsidRDefault="007C532C">
      <w:pPr>
        <w:pStyle w:val="CommentText"/>
      </w:pPr>
      <w:r>
        <w:rPr>
          <w:rStyle w:val="CommentReference"/>
        </w:rPr>
        <w:annotationRef/>
      </w:r>
      <w:r w:rsidR="00EC53B3">
        <w:rPr>
          <w:rStyle w:val="CommentReference"/>
        </w:rPr>
        <w:t>St</w:t>
      </w:r>
      <w:r w:rsidR="00C400E5">
        <w:rPr>
          <w:rStyle w:val="CommentReference"/>
        </w:rPr>
        <w:t>udents can use a reference (</w:t>
      </w:r>
      <w:r w:rsidR="00EC53B3">
        <w:rPr>
          <w:rStyle w:val="CommentReference"/>
        </w:rPr>
        <w:t>textbook</w:t>
      </w:r>
      <w:r w:rsidR="00C400E5">
        <w:rPr>
          <w:rStyle w:val="CommentReference"/>
        </w:rPr>
        <w:t>,</w:t>
      </w:r>
      <w:r w:rsidR="00EC53B3">
        <w:rPr>
          <w:rStyle w:val="CommentReference"/>
        </w:rPr>
        <w:t xml:space="preserve"> internet</w:t>
      </w:r>
      <w:r w:rsidR="00C400E5">
        <w:rPr>
          <w:rStyle w:val="CommentReference"/>
        </w:rPr>
        <w:t>, etc.</w:t>
      </w:r>
      <w:r w:rsidR="00EC53B3">
        <w:rPr>
          <w:rStyle w:val="CommentReference"/>
        </w:rPr>
        <w:t xml:space="preserve">) to look up the </w:t>
      </w:r>
      <w:proofErr w:type="spellStart"/>
      <w:r w:rsidR="00EC53B3">
        <w:rPr>
          <w:rStyle w:val="CommentReference"/>
        </w:rPr>
        <w:t>spectrochemical</w:t>
      </w:r>
      <w:proofErr w:type="spellEnd"/>
      <w:r w:rsidR="00EC53B3">
        <w:rPr>
          <w:rStyle w:val="CommentReference"/>
        </w:rPr>
        <w:t xml:space="preserve"> series if needed.</w:t>
      </w:r>
    </w:p>
  </w:comment>
  <w:comment w:id="11" w:author="Author" w:initials="A">
    <w:p w14:paraId="4BE29F8E" w14:textId="2A9C704D" w:rsidR="00E75F98" w:rsidRDefault="00E75F98">
      <w:pPr>
        <w:pStyle w:val="CommentText"/>
      </w:pPr>
      <w:r>
        <w:rPr>
          <w:rStyle w:val="CommentReference"/>
        </w:rPr>
        <w:annotationRef/>
      </w:r>
      <w:r>
        <w:t>This task will help students connect what they learned from the activity to what they will be doing in lab.</w:t>
      </w:r>
      <w:r w:rsidR="0044789C">
        <w:t xml:space="preserve"> The focus of this exercise is to have students think critically about a spectroscopic technique rather than to list all techniques that could be used.</w:t>
      </w:r>
    </w:p>
  </w:comment>
  <w:comment w:id="12" w:author="Author" w:initials="A">
    <w:p w14:paraId="530E0BF5" w14:textId="18233439" w:rsidR="00E75F98" w:rsidRDefault="00E75F98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A similar reaction pathway can be included on the final examination to assess student learning from this activity.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E3668B2" w15:done="0"/>
  <w15:commentEx w15:paraId="57B3DE08" w15:done="0"/>
  <w15:commentEx w15:paraId="66C1380D" w15:done="0"/>
  <w15:commentEx w15:paraId="424F8683" w15:done="0"/>
  <w15:commentEx w15:paraId="66551985" w15:done="0"/>
  <w15:commentEx w15:paraId="55B7CC07" w15:done="0"/>
  <w15:commentEx w15:paraId="1CD59E83" w15:done="0"/>
  <w15:commentEx w15:paraId="382B2C32" w15:done="0"/>
  <w15:commentEx w15:paraId="10F89302" w15:done="0"/>
  <w15:commentEx w15:paraId="7B0923DF" w15:done="0"/>
  <w15:commentEx w15:paraId="4BE29F8E" w15:done="0"/>
  <w15:commentEx w15:paraId="530E0B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DEF84" w14:textId="77777777" w:rsidR="00F60A04" w:rsidRDefault="00F60A04" w:rsidP="00223155">
      <w:pPr>
        <w:spacing w:after="0" w:line="240" w:lineRule="auto"/>
      </w:pPr>
      <w:r>
        <w:separator/>
      </w:r>
    </w:p>
  </w:endnote>
  <w:endnote w:type="continuationSeparator" w:id="0">
    <w:p w14:paraId="55C26265" w14:textId="77777777" w:rsidR="00F60A04" w:rsidRDefault="00F60A04" w:rsidP="0022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F83F7" w14:textId="77777777" w:rsidR="00F60A04" w:rsidRDefault="00F60A04" w:rsidP="00223155">
      <w:pPr>
        <w:spacing w:after="0" w:line="240" w:lineRule="auto"/>
      </w:pPr>
      <w:r>
        <w:separator/>
      </w:r>
    </w:p>
  </w:footnote>
  <w:footnote w:type="continuationSeparator" w:id="0">
    <w:p w14:paraId="0A238D55" w14:textId="77777777" w:rsidR="00F60A04" w:rsidRDefault="00F60A04" w:rsidP="0022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018BA"/>
    <w:multiLevelType w:val="hybridMultilevel"/>
    <w:tmpl w:val="EE9ED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35412"/>
    <w:multiLevelType w:val="hybridMultilevel"/>
    <w:tmpl w:val="F6C8F3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2E0517"/>
    <w:multiLevelType w:val="hybridMultilevel"/>
    <w:tmpl w:val="F7261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C6CAC"/>
    <w:multiLevelType w:val="hybridMultilevel"/>
    <w:tmpl w:val="2FDC59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9D70EB"/>
    <w:multiLevelType w:val="hybridMultilevel"/>
    <w:tmpl w:val="70BE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E5"/>
    <w:rsid w:val="000A6CE5"/>
    <w:rsid w:val="000C5F69"/>
    <w:rsid w:val="000D0037"/>
    <w:rsid w:val="00114561"/>
    <w:rsid w:val="001634B5"/>
    <w:rsid w:val="001D06C1"/>
    <w:rsid w:val="001D3361"/>
    <w:rsid w:val="001F5EC5"/>
    <w:rsid w:val="00206BF1"/>
    <w:rsid w:val="00223155"/>
    <w:rsid w:val="002F26CE"/>
    <w:rsid w:val="00304A3E"/>
    <w:rsid w:val="00310032"/>
    <w:rsid w:val="0034705D"/>
    <w:rsid w:val="0035398E"/>
    <w:rsid w:val="00393CD4"/>
    <w:rsid w:val="003A54F4"/>
    <w:rsid w:val="003D71D9"/>
    <w:rsid w:val="003E70A6"/>
    <w:rsid w:val="0044789C"/>
    <w:rsid w:val="00460387"/>
    <w:rsid w:val="004A2694"/>
    <w:rsid w:val="00517182"/>
    <w:rsid w:val="005E6E38"/>
    <w:rsid w:val="006A259C"/>
    <w:rsid w:val="00721959"/>
    <w:rsid w:val="00745D7E"/>
    <w:rsid w:val="007C532C"/>
    <w:rsid w:val="008156D7"/>
    <w:rsid w:val="008A2EF1"/>
    <w:rsid w:val="00951D6C"/>
    <w:rsid w:val="00974E19"/>
    <w:rsid w:val="009C7ED4"/>
    <w:rsid w:val="00A50EB2"/>
    <w:rsid w:val="00A57FF9"/>
    <w:rsid w:val="00AA0EC3"/>
    <w:rsid w:val="00B076F9"/>
    <w:rsid w:val="00B23BC2"/>
    <w:rsid w:val="00C1401C"/>
    <w:rsid w:val="00C400E5"/>
    <w:rsid w:val="00CC4E69"/>
    <w:rsid w:val="00E75F98"/>
    <w:rsid w:val="00E96021"/>
    <w:rsid w:val="00EB2C00"/>
    <w:rsid w:val="00EC53B3"/>
    <w:rsid w:val="00EE4C10"/>
    <w:rsid w:val="00F57211"/>
    <w:rsid w:val="00F6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C2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C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CE5"/>
    <w:pPr>
      <w:ind w:left="720"/>
      <w:contextualSpacing/>
    </w:pPr>
  </w:style>
  <w:style w:type="table" w:styleId="TableGrid">
    <w:name w:val="Table Grid"/>
    <w:basedOn w:val="TableNormal"/>
    <w:uiPriority w:val="59"/>
    <w:rsid w:val="000A6CE5"/>
    <w:pPr>
      <w:spacing w:after="0" w:line="240" w:lineRule="auto"/>
    </w:pPr>
    <w:rPr>
      <w:rFonts w:eastAsiaTheme="minorEastAsia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F26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4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E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E6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155"/>
  </w:style>
  <w:style w:type="paragraph" w:styleId="Footer">
    <w:name w:val="footer"/>
    <w:basedOn w:val="Normal"/>
    <w:link w:val="FooterChar"/>
    <w:uiPriority w:val="99"/>
    <w:unhideWhenUsed/>
    <w:rsid w:val="00223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155"/>
  </w:style>
  <w:style w:type="character" w:styleId="Hyperlink">
    <w:name w:val="Hyperlink"/>
    <w:unhideWhenUsed/>
    <w:rsid w:val="00974E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onicviper.org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about/license/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43479-CCEF-44DC-927A-3D3F2347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2014-04-25T00:20:00Z</dcterms:created>
  <dcterms:modified xsi:type="dcterms:W3CDTF">2014-04-26T00:37:00Z</dcterms:modified>
</cp:coreProperties>
</file>