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Heading4"/>
        <w:keepNext w:val="0"/>
        <w:keepLines w:val="0"/>
        <w:spacing w:after="0" w:before="0" w:lineRule="auto"/>
        <w:contextualSpacing w:val="0"/>
        <w:jc w:val="center"/>
      </w:pPr>
      <w:bookmarkStart w:colFirst="0" w:colLast="0" w:name="_yk94t0mzfjxn" w:id="0"/>
      <w:bookmarkEnd w:id="0"/>
      <w:r w:rsidDel="00000000" w:rsidR="00000000" w:rsidRPr="00000000">
        <w:rPr>
          <w:rFonts w:ascii="Arial" w:cs="Arial" w:eastAsia="Arial" w:hAnsi="Arial"/>
          <w:sz w:val="20"/>
          <w:szCs w:val="20"/>
          <w:highlight w:val="white"/>
          <w:rtl w:val="0"/>
        </w:rPr>
        <w:t xml:space="preserve">Redox-Controlled Polymerization of Lactide Catalyzed by Bis(imino)pyridine Iron Bis(</w:t>
      </w:r>
      <w:r w:rsidDel="00000000" w:rsidR="00000000" w:rsidRPr="00000000">
        <w:rPr>
          <w:rFonts w:ascii="Arial" w:cs="Arial" w:eastAsia="Arial" w:hAnsi="Arial"/>
          <w:sz w:val="20"/>
          <w:szCs w:val="20"/>
          <w:highlight w:val="white"/>
          <w:rtl w:val="0"/>
        </w:rPr>
        <w:t xml:space="preserve">alkoxide</w:t>
      </w:r>
      <w:r w:rsidDel="00000000" w:rsidR="00000000" w:rsidRPr="00000000">
        <w:rPr>
          <w:rFonts w:ascii="Arial" w:cs="Arial" w:eastAsia="Arial" w:hAnsi="Arial"/>
          <w:sz w:val="20"/>
          <w:szCs w:val="20"/>
          <w:highlight w:val="white"/>
          <w:rtl w:val="0"/>
        </w:rPr>
        <w:t xml:space="preserve">) </w:t>
      </w:r>
      <w:r w:rsidDel="00000000" w:rsidR="00000000" w:rsidRPr="00000000">
        <w:rPr>
          <w:rFonts w:ascii="Arial" w:cs="Arial" w:eastAsia="Arial" w:hAnsi="Arial"/>
          <w:sz w:val="20"/>
          <w:szCs w:val="20"/>
          <w:highlight w:val="white"/>
          <w:rtl w:val="0"/>
        </w:rPr>
        <w:t xml:space="preserve">Complexes</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Arial" w:cs="Arial" w:eastAsia="Arial" w:hAnsi="Arial"/>
          <w:sz w:val="20"/>
          <w:szCs w:val="20"/>
          <w:highlight w:val="white"/>
          <w:rtl w:val="0"/>
        </w:rPr>
        <w:t xml:space="preserve">Ashley B. Biernesser, Bo Li, and Jeffery A. Byers</w:t>
      </w:r>
    </w:p>
    <w:p w:rsidR="00000000" w:rsidDel="00000000" w:rsidP="00000000" w:rsidRDefault="00000000" w:rsidRPr="00000000">
      <w:pPr>
        <w:contextualSpacing w:val="0"/>
        <w:jc w:val="center"/>
      </w:pPr>
      <w:r w:rsidDel="00000000" w:rsidR="00000000" w:rsidRPr="00000000">
        <w:rPr>
          <w:rFonts w:ascii="Arial" w:cs="Arial" w:eastAsia="Arial" w:hAnsi="Arial"/>
          <w:i w:val="1"/>
          <w:sz w:val="20"/>
          <w:szCs w:val="20"/>
          <w:highlight w:val="white"/>
          <w:rtl w:val="0"/>
        </w:rPr>
        <w:t xml:space="preserve">Journal of the American Chemical Society</w:t>
      </w:r>
      <w:r w:rsidDel="00000000" w:rsidR="00000000" w:rsidRPr="00000000">
        <w:rPr>
          <w:rFonts w:ascii="Arial" w:cs="Arial" w:eastAsia="Arial" w:hAnsi="Arial"/>
          <w:sz w:val="20"/>
          <w:szCs w:val="20"/>
          <w:highlight w:val="white"/>
          <w:rtl w:val="0"/>
        </w:rPr>
        <w:t xml:space="preserve"> </w:t>
      </w:r>
      <w:r w:rsidDel="00000000" w:rsidR="00000000" w:rsidRPr="00000000">
        <w:rPr>
          <w:rFonts w:ascii="Arial" w:cs="Arial" w:eastAsia="Arial" w:hAnsi="Arial"/>
          <w:b w:val="1"/>
          <w:sz w:val="20"/>
          <w:szCs w:val="20"/>
          <w:highlight w:val="white"/>
          <w:rtl w:val="0"/>
        </w:rPr>
        <w:t xml:space="preserve">2013</w:t>
      </w:r>
      <w:r w:rsidDel="00000000" w:rsidR="00000000" w:rsidRPr="00000000">
        <w:rPr>
          <w:rFonts w:ascii="Arial" w:cs="Arial" w:eastAsia="Arial" w:hAnsi="Arial"/>
          <w:sz w:val="20"/>
          <w:szCs w:val="20"/>
          <w:highlight w:val="white"/>
          <w:rtl w:val="0"/>
        </w:rPr>
        <w:t xml:space="preserve"> </w:t>
      </w:r>
      <w:r w:rsidDel="00000000" w:rsidR="00000000" w:rsidRPr="00000000">
        <w:rPr>
          <w:rFonts w:ascii="Arial" w:cs="Arial" w:eastAsia="Arial" w:hAnsi="Arial"/>
          <w:i w:val="1"/>
          <w:sz w:val="20"/>
          <w:szCs w:val="20"/>
          <w:highlight w:val="white"/>
          <w:rtl w:val="0"/>
        </w:rPr>
        <w:t xml:space="preserve">135</w:t>
      </w:r>
      <w:r w:rsidDel="00000000" w:rsidR="00000000" w:rsidRPr="00000000">
        <w:rPr>
          <w:rFonts w:ascii="Arial" w:cs="Arial" w:eastAsia="Arial" w:hAnsi="Arial"/>
          <w:sz w:val="20"/>
          <w:szCs w:val="20"/>
          <w:highlight w:val="white"/>
          <w:rtl w:val="0"/>
        </w:rPr>
        <w:t xml:space="preserve"> (44), 16553-16560</w:t>
      </w:r>
    </w:p>
    <w:p w:rsidR="00000000" w:rsidDel="00000000" w:rsidP="00000000" w:rsidRDefault="00000000" w:rsidRPr="00000000">
      <w:pPr>
        <w:contextualSpacing w:val="0"/>
        <w:jc w:val="center"/>
      </w:pPr>
      <w:r w:rsidDel="00000000" w:rsidR="00000000" w:rsidRPr="00000000">
        <w:rPr>
          <w:rFonts w:ascii="Arial" w:cs="Arial" w:eastAsia="Arial" w:hAnsi="Arial"/>
          <w:sz w:val="20"/>
          <w:szCs w:val="20"/>
          <w:highlight w:val="white"/>
          <w:rtl w:val="0"/>
        </w:rPr>
        <w:t xml:space="preserve">DOI: </w:t>
      </w:r>
      <w:hyperlink r:id="rId5">
        <w:r w:rsidDel="00000000" w:rsidR="00000000" w:rsidRPr="00000000">
          <w:rPr>
            <w:rFonts w:ascii="Arial" w:cs="Arial" w:eastAsia="Arial" w:hAnsi="Arial"/>
            <w:color w:val="1155cc"/>
            <w:sz w:val="20"/>
            <w:szCs w:val="20"/>
            <w:highlight w:val="white"/>
            <w:u w:val="single"/>
            <w:rtl w:val="0"/>
          </w:rPr>
          <w:t xml:space="preserve">http://dx/doi/org/10.1021/ja407920d</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This set of questions is appropriate for a junior/senior level course. The number of questions selected would be appropriate for about an hour. Feel free to remove/add questions as you see fit! Three categories of questions exist - introductory, characterization, and mechanistic. This is an excellent article that ties in the concepts of organometallic synthesis and characterization, catalysis, mechanistic studies, and polymer chemistry. An excellent LO for faculty looking to incorporate polymer chemistry into the inorganic curriculum, in light of ACS standards for certification.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rtl w:val="0"/>
        </w:rPr>
        <w:t xml:space="preserve">Introductory Questions</w:t>
      </w:r>
    </w:p>
    <w:p w:rsidR="00000000" w:rsidDel="00000000" w:rsidP="00000000" w:rsidRDefault="00000000" w:rsidRPr="00000000">
      <w:pPr>
        <w:numPr>
          <w:ilvl w:val="0"/>
          <w:numId w:val="1"/>
        </w:numPr>
        <w:ind w:left="720" w:hanging="360"/>
        <w:contextualSpacing w:val="1"/>
        <w:jc w:val="both"/>
        <w:rPr>
          <w:rFonts w:ascii="Arial" w:cs="Arial" w:eastAsia="Arial" w:hAnsi="Arial"/>
        </w:rPr>
      </w:pPr>
      <w:r w:rsidDel="00000000" w:rsidR="00000000" w:rsidRPr="00000000">
        <w:rPr>
          <w:rFonts w:ascii="Arial" w:cs="Arial" w:eastAsia="Arial" w:hAnsi="Arial"/>
          <w:rtl w:val="0"/>
        </w:rPr>
        <w:t xml:space="preserve">When discussing polymer chemistry, there are a number of important terms that are used to describe the mechanism of the polymerization reaction and the properties of the polymer. Please provide a </w:t>
      </w:r>
      <w:r w:rsidDel="00000000" w:rsidR="00000000" w:rsidRPr="00000000">
        <w:rPr>
          <w:rFonts w:ascii="Arial" w:cs="Arial" w:eastAsia="Arial" w:hAnsi="Arial"/>
          <w:rtl w:val="0"/>
        </w:rPr>
        <w:t xml:space="preserve">definition</w:t>
      </w:r>
      <w:r w:rsidDel="00000000" w:rsidR="00000000" w:rsidRPr="00000000">
        <w:rPr>
          <w:rFonts w:ascii="Arial" w:cs="Arial" w:eastAsia="Arial" w:hAnsi="Arial"/>
          <w:rtl w:val="0"/>
        </w:rPr>
        <w:t xml:space="preserve"> for each of the terms (used in the article) that are listed below. You may need to consult other sources to find some of these definitions. </w:t>
      </w:r>
    </w:p>
    <w:p w:rsidR="00000000" w:rsidDel="00000000" w:rsidP="00000000" w:rsidRDefault="00000000" w:rsidRPr="00000000">
      <w:pPr>
        <w:numPr>
          <w:ilvl w:val="1"/>
          <w:numId w:val="1"/>
        </w:numPr>
        <w:ind w:left="1440" w:hanging="360"/>
        <w:contextualSpacing w:val="1"/>
        <w:rPr>
          <w:rFonts w:ascii="Arial" w:cs="Arial" w:eastAsia="Arial" w:hAnsi="Arial"/>
        </w:rPr>
      </w:pPr>
      <w:r w:rsidDel="00000000" w:rsidR="00000000" w:rsidRPr="00000000">
        <w:rPr>
          <w:rFonts w:ascii="Arial" w:cs="Arial" w:eastAsia="Arial" w:hAnsi="Arial"/>
          <w:rtl w:val="0"/>
        </w:rPr>
        <w:t xml:space="preserve">Precatalyst</w:t>
      </w:r>
    </w:p>
    <w:p w:rsidR="00000000" w:rsidDel="00000000" w:rsidP="00000000" w:rsidRDefault="00000000" w:rsidRPr="00000000">
      <w:pPr>
        <w:numPr>
          <w:ilvl w:val="1"/>
          <w:numId w:val="1"/>
        </w:numPr>
        <w:ind w:left="1440" w:hanging="360"/>
        <w:contextualSpacing w:val="1"/>
        <w:rPr>
          <w:rFonts w:ascii="Arial" w:cs="Arial" w:eastAsia="Arial" w:hAnsi="Arial"/>
        </w:rPr>
      </w:pPr>
      <w:r w:rsidDel="00000000" w:rsidR="00000000" w:rsidRPr="00000000">
        <w:rPr>
          <w:rFonts w:ascii="Arial" w:cs="Arial" w:eastAsia="Arial" w:hAnsi="Arial"/>
          <w:rtl w:val="0"/>
        </w:rPr>
        <w:t xml:space="preserve">Initiator</w:t>
      </w:r>
    </w:p>
    <w:p w:rsidR="00000000" w:rsidDel="00000000" w:rsidP="00000000" w:rsidRDefault="00000000" w:rsidRPr="00000000">
      <w:pPr>
        <w:numPr>
          <w:ilvl w:val="1"/>
          <w:numId w:val="1"/>
        </w:numPr>
        <w:ind w:left="1440" w:hanging="360"/>
        <w:contextualSpacing w:val="1"/>
        <w:rPr>
          <w:rFonts w:ascii="Arial" w:cs="Arial" w:eastAsia="Arial" w:hAnsi="Arial"/>
        </w:rPr>
      </w:pPr>
      <w:r w:rsidDel="00000000" w:rsidR="00000000" w:rsidRPr="00000000">
        <w:rPr>
          <w:rFonts w:ascii="Arial" w:cs="Arial" w:eastAsia="Arial" w:hAnsi="Arial"/>
          <w:rtl w:val="0"/>
        </w:rPr>
        <w:t xml:space="preserve">Living polymerization</w:t>
      </w:r>
    </w:p>
    <w:p w:rsidR="00000000" w:rsidDel="00000000" w:rsidP="00000000" w:rsidRDefault="00000000" w:rsidRPr="00000000">
      <w:pPr>
        <w:numPr>
          <w:ilvl w:val="1"/>
          <w:numId w:val="1"/>
        </w:numPr>
        <w:ind w:left="1440" w:hanging="360"/>
        <w:contextualSpacing w:val="1"/>
        <w:rPr>
          <w:rFonts w:ascii="Arial" w:cs="Arial" w:eastAsia="Arial" w:hAnsi="Arial"/>
        </w:rPr>
      </w:pPr>
      <w:r w:rsidDel="00000000" w:rsidR="00000000" w:rsidRPr="00000000">
        <w:rPr>
          <w:rFonts w:ascii="Arial" w:cs="Arial" w:eastAsia="Arial" w:hAnsi="Arial"/>
          <w:rtl w:val="0"/>
        </w:rPr>
        <w:t xml:space="preserve">Polydispersity index (PDI)</w:t>
      </w:r>
    </w:p>
    <w:p w:rsidR="00000000" w:rsidDel="00000000" w:rsidP="00000000" w:rsidRDefault="00000000" w:rsidRPr="00000000">
      <w:pPr>
        <w:numPr>
          <w:ilvl w:val="1"/>
          <w:numId w:val="1"/>
        </w:numPr>
        <w:ind w:left="1440" w:hanging="360"/>
        <w:contextualSpacing w:val="1"/>
        <w:rPr>
          <w:rFonts w:ascii="Arial" w:cs="Arial" w:eastAsia="Arial" w:hAnsi="Arial"/>
        </w:rPr>
      </w:pPr>
      <w:r w:rsidDel="00000000" w:rsidR="00000000" w:rsidRPr="00000000">
        <w:rPr>
          <w:rFonts w:ascii="Arial" w:cs="Arial" w:eastAsia="Arial" w:hAnsi="Arial"/>
          <w:i w:val="1"/>
          <w:rtl w:val="0"/>
        </w:rPr>
        <w:t xml:space="preserve">M</w:t>
      </w:r>
      <w:r w:rsidDel="00000000" w:rsidR="00000000" w:rsidRPr="00000000">
        <w:rPr>
          <w:rFonts w:ascii="Arial" w:cs="Arial" w:eastAsia="Arial" w:hAnsi="Arial"/>
          <w:vertAlign w:val="subscript"/>
          <w:rtl w:val="0"/>
        </w:rPr>
        <w:t xml:space="preserve">n</w:t>
      </w:r>
    </w:p>
    <w:p w:rsidR="00000000" w:rsidDel="00000000" w:rsidP="00000000" w:rsidRDefault="00000000" w:rsidRPr="00000000">
      <w:pPr>
        <w:numPr>
          <w:ilvl w:val="1"/>
          <w:numId w:val="1"/>
        </w:numPr>
        <w:ind w:left="1440" w:hanging="360"/>
        <w:contextualSpacing w:val="1"/>
        <w:rPr>
          <w:rFonts w:ascii="Arial" w:cs="Arial" w:eastAsia="Arial" w:hAnsi="Arial"/>
        </w:rPr>
      </w:pPr>
      <w:r w:rsidDel="00000000" w:rsidR="00000000" w:rsidRPr="00000000">
        <w:rPr>
          <w:rFonts w:ascii="Arial" w:cs="Arial" w:eastAsia="Arial" w:hAnsi="Arial"/>
          <w:i w:val="1"/>
          <w:rtl w:val="0"/>
        </w:rPr>
        <w:t xml:space="preserve">M</w:t>
      </w:r>
      <w:r w:rsidDel="00000000" w:rsidR="00000000" w:rsidRPr="00000000">
        <w:rPr>
          <w:rFonts w:ascii="Arial" w:cs="Arial" w:eastAsia="Arial" w:hAnsi="Arial"/>
          <w:vertAlign w:val="subscript"/>
          <w:rtl w:val="0"/>
        </w:rPr>
        <w:t xml:space="preserve">w</w:t>
      </w:r>
      <w:r w:rsidDel="00000000" w:rsidR="00000000" w:rsidRPr="00000000">
        <w:rPr>
          <w:rFonts w:ascii="Arial" w:cs="Arial" w:eastAsia="Arial" w:hAnsi="Arial"/>
          <w:rtl w:val="0"/>
        </w:rPr>
        <w:t xml:space="preserve"> </w:t>
      </w:r>
    </w:p>
    <w:p w:rsidR="00000000" w:rsidDel="00000000" w:rsidP="00000000" w:rsidRDefault="00000000" w:rsidRPr="00000000">
      <w:pPr>
        <w:numPr>
          <w:ilvl w:val="0"/>
          <w:numId w:val="1"/>
        </w:numPr>
        <w:ind w:left="720" w:hanging="360"/>
        <w:contextualSpacing w:val="1"/>
        <w:jc w:val="both"/>
        <w:rPr>
          <w:rFonts w:ascii="Arial" w:cs="Arial" w:eastAsia="Arial" w:hAnsi="Arial"/>
        </w:rPr>
      </w:pPr>
      <w:r w:rsidDel="00000000" w:rsidR="00000000" w:rsidRPr="00000000">
        <w:rPr>
          <w:rFonts w:ascii="Arial" w:cs="Arial" w:eastAsia="Arial" w:hAnsi="Arial"/>
          <w:rtl w:val="0"/>
        </w:rPr>
        <w:t xml:space="preserve">I</w:t>
      </w:r>
      <w:r w:rsidDel="00000000" w:rsidR="00000000" w:rsidRPr="00000000">
        <w:rPr>
          <w:rFonts w:ascii="Arial" w:cs="Arial" w:eastAsia="Arial" w:hAnsi="Arial"/>
          <w:rtl w:val="0"/>
        </w:rPr>
        <w:t xml:space="preserve">n the general mechanism for polymerization reactions, there are a series of steps that occur: initiation, propagation, termination. As we will see in this paper, the authors’ data support that the observed reaction is a </w:t>
      </w:r>
      <w:r w:rsidDel="00000000" w:rsidR="00000000" w:rsidRPr="00000000">
        <w:rPr>
          <w:rFonts w:ascii="Arial" w:cs="Arial" w:eastAsia="Arial" w:hAnsi="Arial"/>
          <w:i w:val="1"/>
          <w:rtl w:val="0"/>
        </w:rPr>
        <w:t xml:space="preserve">living polymerization</w:t>
      </w:r>
      <w:r w:rsidDel="00000000" w:rsidR="00000000" w:rsidRPr="00000000">
        <w:rPr>
          <w:rFonts w:ascii="Arial" w:cs="Arial" w:eastAsia="Arial" w:hAnsi="Arial"/>
          <w:rtl w:val="0"/>
        </w:rPr>
        <w:t xml:space="preserve">. What is a living polymerization and what are the key characteristics for a living polymerization? (For more background on living polymerization and polymerization topics see: </w:t>
      </w:r>
      <w:hyperlink r:id="rId6">
        <w:r w:rsidDel="00000000" w:rsidR="00000000" w:rsidRPr="00000000">
          <w:rPr>
            <w:rFonts w:ascii="Arial" w:cs="Arial" w:eastAsia="Arial" w:hAnsi="Arial"/>
            <w:color w:val="1155cc"/>
            <w:u w:val="single"/>
            <w:rtl w:val="0"/>
          </w:rPr>
          <w:t xml:space="preserve">https://www.cmu.edu/maty/crp/features.html</w:t>
        </w:r>
      </w:hyperlink>
      <w:r w:rsidDel="00000000" w:rsidR="00000000" w:rsidRPr="00000000">
        <w:rPr>
          <w:rFonts w:ascii="Arial" w:cs="Arial" w:eastAsia="Arial" w:hAnsi="Arial"/>
          <w:rtl w:val="0"/>
        </w:rPr>
        <w:t xml:space="preserve">, </w:t>
      </w:r>
      <w:hyperlink r:id="rId7">
        <w:r w:rsidDel="00000000" w:rsidR="00000000" w:rsidRPr="00000000">
          <w:rPr>
            <w:rFonts w:ascii="Arial" w:cs="Arial" w:eastAsia="Arial" w:hAnsi="Arial"/>
            <w:color w:val="1155cc"/>
            <w:u w:val="single"/>
            <w:rtl w:val="0"/>
          </w:rPr>
          <w:t xml:space="preserve">http://www.polyacs.org/725.html</w:t>
        </w:r>
      </w:hyperlink>
      <w:r w:rsidDel="00000000" w:rsidR="00000000" w:rsidRPr="00000000">
        <w:rPr>
          <w:rFonts w:ascii="Arial" w:cs="Arial" w:eastAsia="Arial" w:hAnsi="Arial"/>
          <w:rtl w:val="0"/>
        </w:rPr>
        <w:t xml:space="preserve"> ) </w:t>
      </w:r>
    </w:p>
    <w:p w:rsidR="00000000" w:rsidDel="00000000" w:rsidP="00000000" w:rsidRDefault="00000000" w:rsidRPr="00000000">
      <w:pPr>
        <w:numPr>
          <w:ilvl w:val="0"/>
          <w:numId w:val="1"/>
        </w:numPr>
        <w:ind w:left="720" w:hanging="360"/>
        <w:contextualSpacing w:val="1"/>
        <w:jc w:val="both"/>
        <w:rPr>
          <w:rFonts w:ascii="Arial" w:cs="Arial" w:eastAsia="Arial" w:hAnsi="Arial"/>
          <w:u w:val="none"/>
        </w:rPr>
      </w:pPr>
      <w:r w:rsidDel="00000000" w:rsidR="00000000" w:rsidRPr="00000000">
        <w:rPr>
          <w:rFonts w:ascii="Arial" w:cs="Arial" w:eastAsia="Arial" w:hAnsi="Arial"/>
          <w:rtl w:val="0"/>
        </w:rPr>
        <w:t xml:space="preserve">What is meant by “biologically inert polymeric materials”? Provide an example of a biologically inert polymer and an application.</w:t>
      </w:r>
    </w:p>
    <w:p w:rsidR="00000000" w:rsidDel="00000000" w:rsidP="00000000" w:rsidRDefault="00000000" w:rsidRPr="00000000">
      <w:pPr>
        <w:numPr>
          <w:ilvl w:val="0"/>
          <w:numId w:val="1"/>
        </w:numPr>
        <w:ind w:left="720" w:hanging="360"/>
        <w:contextualSpacing w:val="1"/>
        <w:jc w:val="both"/>
        <w:rPr>
          <w:rFonts w:ascii="Arial" w:cs="Arial" w:eastAsia="Arial" w:hAnsi="Arial"/>
          <w:u w:val="none"/>
        </w:rPr>
      </w:pPr>
      <w:r w:rsidDel="00000000" w:rsidR="00000000" w:rsidRPr="00000000">
        <w:rPr>
          <w:rFonts w:ascii="Arial" w:cs="Arial" w:eastAsia="Arial" w:hAnsi="Arial"/>
          <w:rtl w:val="0"/>
        </w:rPr>
        <w:t xml:space="preserve">Draw the structure for lactic acid and denote any chiral centers. How is this compound converted to make the monomer lactide?</w:t>
      </w:r>
    </w:p>
    <w:p w:rsidR="00000000" w:rsidDel="00000000" w:rsidP="00000000" w:rsidRDefault="00000000" w:rsidRPr="00000000">
      <w:pPr>
        <w:numPr>
          <w:ilvl w:val="0"/>
          <w:numId w:val="1"/>
        </w:numPr>
        <w:ind w:left="720" w:hanging="360"/>
        <w:contextualSpacing w:val="1"/>
        <w:jc w:val="both"/>
        <w:rPr>
          <w:rFonts w:ascii="Arial" w:cs="Arial" w:eastAsia="Arial" w:hAnsi="Arial"/>
          <w:u w:val="none"/>
        </w:rPr>
      </w:pPr>
      <w:r w:rsidDel="00000000" w:rsidR="00000000" w:rsidRPr="00000000">
        <w:rPr>
          <w:rFonts w:ascii="Arial" w:cs="Arial" w:eastAsia="Arial" w:hAnsi="Arial"/>
          <w:rtl w:val="0"/>
        </w:rPr>
        <w:t xml:space="preserve">Why is the polymerization of lactide being studied? What are some advantages of poly(lactic acid) over many other commonly used polymers? </w:t>
      </w:r>
    </w:p>
    <w:p w:rsidR="00000000" w:rsidDel="00000000" w:rsidP="00000000" w:rsidRDefault="00000000" w:rsidRPr="00000000">
      <w:pPr>
        <w:numPr>
          <w:ilvl w:val="0"/>
          <w:numId w:val="1"/>
        </w:numPr>
        <w:ind w:left="720" w:hanging="360"/>
        <w:contextualSpacing w:val="1"/>
        <w:jc w:val="both"/>
        <w:rPr>
          <w:rFonts w:ascii="Arial" w:cs="Arial" w:eastAsia="Arial" w:hAnsi="Arial"/>
        </w:rPr>
      </w:pPr>
      <w:r w:rsidDel="00000000" w:rsidR="00000000" w:rsidRPr="00000000">
        <w:rPr>
          <w:rFonts w:ascii="Arial" w:cs="Arial" w:eastAsia="Arial" w:hAnsi="Arial"/>
          <w:rtl w:val="0"/>
        </w:rPr>
        <w:t xml:space="preserve">Why is iron an interesting metal to investigate for use as a catalyst in lactide polymerization? List some potential benefits.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rtl w:val="0"/>
        </w:rPr>
        <w:t xml:space="preserve">Characterization Questions</w:t>
      </w:r>
    </w:p>
    <w:p w:rsidR="00000000" w:rsidDel="00000000" w:rsidP="00000000" w:rsidRDefault="00000000" w:rsidRPr="00000000">
      <w:pPr>
        <w:numPr>
          <w:ilvl w:val="0"/>
          <w:numId w:val="1"/>
        </w:numPr>
        <w:ind w:left="720" w:hanging="360"/>
        <w:contextualSpacing w:val="1"/>
        <w:rPr>
          <w:rFonts w:ascii="Arial" w:cs="Arial" w:eastAsia="Arial" w:hAnsi="Arial"/>
        </w:rPr>
      </w:pPr>
      <w:r w:rsidDel="00000000" w:rsidR="00000000" w:rsidRPr="00000000">
        <w:rPr>
          <w:rFonts w:ascii="Arial" w:cs="Arial" w:eastAsia="Arial" w:hAnsi="Arial"/>
          <w:rtl w:val="0"/>
        </w:rPr>
        <w:t xml:space="preserve">Both the iron(II) and iron(III) bis(alkoxide) compounds have unpaired electrons. Given μ</w:t>
      </w:r>
      <w:r w:rsidDel="00000000" w:rsidR="00000000" w:rsidRPr="00000000">
        <w:rPr>
          <w:rFonts w:ascii="Arial" w:cs="Arial" w:eastAsia="Arial" w:hAnsi="Arial"/>
          <w:vertAlign w:val="subscript"/>
          <w:rtl w:val="0"/>
        </w:rPr>
        <w:t xml:space="preserve">eff</w:t>
      </w:r>
      <w:r w:rsidDel="00000000" w:rsidR="00000000" w:rsidRPr="00000000">
        <w:rPr>
          <w:rFonts w:ascii="Arial" w:cs="Arial" w:eastAsia="Arial" w:hAnsi="Arial"/>
          <w:rtl w:val="0"/>
        </w:rPr>
        <w:t xml:space="preserve"> and the formula for the spin-only magnetic moment, determine the number of unpaired electrons (</w:t>
      </w:r>
      <w:r w:rsidDel="00000000" w:rsidR="00000000" w:rsidRPr="00000000">
        <w:rPr>
          <w:rFonts w:ascii="Arial" w:cs="Arial" w:eastAsia="Arial" w:hAnsi="Arial"/>
          <w:i w:val="1"/>
          <w:rtl w:val="0"/>
        </w:rPr>
        <w:t xml:space="preserve">n</w:t>
      </w:r>
      <w:r w:rsidDel="00000000" w:rsidR="00000000" w:rsidRPr="00000000">
        <w:rPr>
          <w:rFonts w:ascii="Arial" w:cs="Arial" w:eastAsia="Arial" w:hAnsi="Arial"/>
          <w:rtl w:val="0"/>
        </w:rPr>
        <w:t xml:space="preserve">) in each complex.      </w:t>
      </w:r>
      <m:oMath>
        <m:sSub>
          <m:sSubPr>
            <m:ctrlPr>
              <w:rPr>
                <w:rFonts w:ascii="Arial" w:cs="Arial" w:eastAsia="Arial" w:hAnsi="Arial"/>
              </w:rPr>
            </m:ctrlPr>
          </m:sSubPr>
          <m:e>
            <m:r>
              <m:t>μ</m:t>
            </m:r>
          </m:e>
          <m:sub>
            <m:r>
              <w:rPr>
                <w:rFonts w:ascii="Arial" w:cs="Arial" w:eastAsia="Arial" w:hAnsi="Arial"/>
              </w:rPr>
              <m:t xml:space="preserve">s</m:t>
            </m:r>
          </m:sub>
        </m:sSub>
        <m:r>
          <w:rPr>
            <w:rFonts w:ascii="Arial" w:cs="Arial" w:eastAsia="Arial" w:hAnsi="Arial"/>
          </w:rPr>
          <m:t xml:space="preserve">= </m:t>
        </m:r>
        <m:rad>
          <m:radPr>
            <m:degHide m:val="1"/>
            <m:ctrlPr>
              <w:rPr>
                <w:rFonts w:ascii="Arial" w:cs="Arial" w:eastAsia="Arial" w:hAnsi="Arial"/>
              </w:rPr>
            </m:ctrlPr>
          </m:radPr>
          <m:e>
            <m:r>
              <w:rPr>
                <w:rFonts w:ascii="Arial" w:cs="Arial" w:eastAsia="Arial" w:hAnsi="Arial"/>
              </w:rPr>
              <m:t xml:space="preserve">n</m:t>
            </m:r>
            <m:d>
              <m:dPr>
                <m:begChr m:val="("/>
                <m:endChr m:val=")"/>
                <m:ctrlPr>
                  <w:rPr>
                    <w:rFonts w:ascii="Arial" w:cs="Arial" w:eastAsia="Arial" w:hAnsi="Arial"/>
                  </w:rPr>
                </m:ctrlPr>
              </m:dPr>
              <m:e>
                <m:r>
                  <w:rPr>
                    <w:rFonts w:ascii="Arial" w:cs="Arial" w:eastAsia="Arial" w:hAnsi="Arial"/>
                  </w:rPr>
                  <m:t xml:space="preserve">n+2</m:t>
                </m:r>
              </m:e>
            </m:d>
          </m:e>
        </m:rad>
      </m:oMath>
      <w:r w:rsidDel="00000000" w:rsidR="00000000" w:rsidRPr="00000000">
        <w:rPr>
          <w:rtl w:val="0"/>
        </w:rPr>
      </w:r>
    </w:p>
    <w:tbl>
      <w:tblPr>
        <w:tblStyle w:val="Table1"/>
        <w:bidiVisual w:val="0"/>
        <w:tblW w:w="5865.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20"/>
        <w:gridCol w:w="1545"/>
        <w:tblGridChange w:id="0">
          <w:tblGrid>
            <w:gridCol w:w="4320"/>
            <w:gridCol w:w="1545"/>
          </w:tblGrid>
        </w:tblGridChange>
      </w:tblGrid>
      <w:tr>
        <w:tc>
          <w:tcPr>
            <w:shd w:fill="efefef"/>
          </w:tcPr>
          <w:p w:rsidR="00000000" w:rsidDel="00000000" w:rsidP="00000000" w:rsidRDefault="00000000" w:rsidRPr="00000000">
            <w:pPr>
              <w:contextualSpacing w:val="0"/>
            </w:pPr>
            <w:r w:rsidDel="00000000" w:rsidR="00000000" w:rsidRPr="00000000">
              <w:rPr>
                <w:rFonts w:ascii="Arial" w:cs="Arial" w:eastAsia="Arial" w:hAnsi="Arial"/>
                <w:b w:val="1"/>
                <w:rtl w:val="0"/>
              </w:rPr>
              <w:t xml:space="preserve">Complex</w:t>
            </w:r>
          </w:p>
        </w:tc>
        <w:tc>
          <w:tcPr>
            <w:shd w:fill="efefef"/>
          </w:tcPr>
          <w:p w:rsidR="00000000" w:rsidDel="00000000" w:rsidP="00000000" w:rsidRDefault="00000000" w:rsidRPr="00000000">
            <w:pPr>
              <w:contextualSpacing w:val="0"/>
            </w:pPr>
            <w:r w:rsidDel="00000000" w:rsidR="00000000" w:rsidRPr="00000000">
              <w:rPr>
                <w:rFonts w:ascii="Arial" w:cs="Arial" w:eastAsia="Arial" w:hAnsi="Arial"/>
                <w:b w:val="1"/>
                <w:rtl w:val="0"/>
              </w:rPr>
              <w:t xml:space="preserve">μ</w:t>
            </w:r>
            <w:r w:rsidDel="00000000" w:rsidR="00000000" w:rsidRPr="00000000">
              <w:rPr>
                <w:rFonts w:ascii="Arial" w:cs="Arial" w:eastAsia="Arial" w:hAnsi="Arial"/>
                <w:b w:val="1"/>
                <w:vertAlign w:val="subscript"/>
                <w:rtl w:val="0"/>
              </w:rPr>
              <w:t xml:space="preserve">eff</w:t>
            </w:r>
            <w:r w:rsidDel="00000000" w:rsidR="00000000" w:rsidRPr="00000000">
              <w:rPr>
                <w:rtl w:val="0"/>
              </w:rPr>
            </w:r>
          </w:p>
        </w:tc>
      </w:tr>
      <w:tr>
        <w:tc>
          <w:tcPr/>
          <w:p w:rsidR="00000000" w:rsidDel="00000000" w:rsidP="00000000" w:rsidRDefault="00000000" w:rsidRPr="00000000">
            <w:pPr>
              <w:contextualSpacing w:val="0"/>
            </w:pPr>
            <w:r w:rsidDel="00000000" w:rsidR="00000000" w:rsidRPr="00000000">
              <w:rPr>
                <w:rFonts w:ascii="Arial" w:cs="Arial" w:eastAsia="Arial" w:hAnsi="Arial"/>
                <w:rtl w:val="0"/>
              </w:rPr>
              <w:t xml:space="preserve">iron(II) bis(neopentoxide) [</w:t>
            </w:r>
            <w:r w:rsidDel="00000000" w:rsidR="00000000" w:rsidRPr="00000000">
              <w:rPr>
                <w:rFonts w:ascii="Arial" w:cs="Arial" w:eastAsia="Arial" w:hAnsi="Arial"/>
                <w:b w:val="1"/>
                <w:rtl w:val="0"/>
              </w:rPr>
              <w:t xml:space="preserve">5c</w:t>
            </w:r>
            <w:r w:rsidDel="00000000" w:rsidR="00000000" w:rsidRPr="00000000">
              <w:rPr>
                <w:rFonts w:ascii="Arial" w:cs="Arial" w:eastAsia="Arial" w:hAnsi="Arial"/>
                <w:rtl w:val="0"/>
              </w:rPr>
              <w:t xml:space="preserve">]</w:t>
            </w:r>
          </w:p>
        </w:tc>
        <w:tc>
          <w:tcPr/>
          <w:p w:rsidR="00000000" w:rsidDel="00000000" w:rsidP="00000000" w:rsidRDefault="00000000" w:rsidRPr="00000000">
            <w:pPr>
              <w:contextualSpacing w:val="0"/>
            </w:pPr>
            <w:r w:rsidDel="00000000" w:rsidR="00000000" w:rsidRPr="00000000">
              <w:rPr>
                <w:rFonts w:ascii="Arial" w:cs="Arial" w:eastAsia="Arial" w:hAnsi="Arial"/>
                <w:rtl w:val="0"/>
              </w:rPr>
              <w:t xml:space="preserve">5.2 μ</w:t>
            </w:r>
            <w:r w:rsidDel="00000000" w:rsidR="00000000" w:rsidRPr="00000000">
              <w:rPr>
                <w:rFonts w:ascii="Arial" w:cs="Arial" w:eastAsia="Arial" w:hAnsi="Arial"/>
                <w:vertAlign w:val="subscript"/>
                <w:rtl w:val="0"/>
              </w:rPr>
              <w:t xml:space="preserve">B</w:t>
            </w:r>
            <w:r w:rsidDel="00000000" w:rsidR="00000000" w:rsidRPr="00000000">
              <w:rPr>
                <w:rtl w:val="0"/>
              </w:rPr>
            </w:r>
          </w:p>
        </w:tc>
      </w:tr>
      <w:tr>
        <w:tc>
          <w:tcPr/>
          <w:p w:rsidR="00000000" w:rsidDel="00000000" w:rsidP="00000000" w:rsidRDefault="00000000" w:rsidRPr="00000000">
            <w:pPr>
              <w:contextualSpacing w:val="0"/>
            </w:pPr>
            <w:r w:rsidDel="00000000" w:rsidR="00000000" w:rsidRPr="00000000">
              <w:rPr>
                <w:rFonts w:ascii="Arial" w:cs="Arial" w:eastAsia="Arial" w:hAnsi="Arial"/>
                <w:rtl w:val="0"/>
              </w:rPr>
              <w:t xml:space="preserve">iron(III) bis(4-methoxyphenoxide) [</w:t>
            </w:r>
            <w:r w:rsidDel="00000000" w:rsidR="00000000" w:rsidRPr="00000000">
              <w:rPr>
                <w:rFonts w:ascii="Arial" w:cs="Arial" w:eastAsia="Arial" w:hAnsi="Arial"/>
                <w:b w:val="1"/>
                <w:rtl w:val="0"/>
              </w:rPr>
              <w:t xml:space="preserve">6</w:t>
            </w:r>
            <w:r w:rsidDel="00000000" w:rsidR="00000000" w:rsidRPr="00000000">
              <w:rPr>
                <w:rFonts w:ascii="Arial" w:cs="Arial" w:eastAsia="Arial" w:hAnsi="Arial"/>
                <w:rtl w:val="0"/>
              </w:rPr>
              <w:t xml:space="preserve">]</w:t>
            </w:r>
          </w:p>
        </w:tc>
        <w:tc>
          <w:tcPr/>
          <w:p w:rsidR="00000000" w:rsidDel="00000000" w:rsidP="00000000" w:rsidRDefault="00000000" w:rsidRPr="00000000">
            <w:pPr>
              <w:contextualSpacing w:val="0"/>
            </w:pPr>
            <w:r w:rsidDel="00000000" w:rsidR="00000000" w:rsidRPr="00000000">
              <w:rPr>
                <w:rFonts w:ascii="Arial" w:cs="Arial" w:eastAsia="Arial" w:hAnsi="Arial"/>
                <w:rtl w:val="0"/>
              </w:rPr>
              <w:t xml:space="preserve">5.9 μ</w:t>
            </w:r>
            <w:r w:rsidDel="00000000" w:rsidR="00000000" w:rsidRPr="00000000">
              <w:rPr>
                <w:rFonts w:ascii="Arial" w:cs="Arial" w:eastAsia="Arial" w:hAnsi="Arial"/>
                <w:vertAlign w:val="subscript"/>
                <w:rtl w:val="0"/>
              </w:rPr>
              <w:t xml:space="preserve">B</w:t>
            </w: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jc w:val="both"/>
        <w:rPr>
          <w:rFonts w:ascii="Arial" w:cs="Arial" w:eastAsia="Arial" w:hAnsi="Arial"/>
        </w:rPr>
      </w:pPr>
      <w:r w:rsidDel="00000000" w:rsidR="00000000" w:rsidRPr="00000000">
        <w:rPr>
          <w:rFonts w:ascii="Arial" w:cs="Arial" w:eastAsia="Arial" w:hAnsi="Arial"/>
          <w:rtl w:val="0"/>
        </w:rPr>
        <w:t xml:space="preserve">The authors use the Evans’ method to determine the Fe center is in fact high spin. (You will need to use other sources to answer this questions.) </w:t>
      </w:r>
    </w:p>
    <w:p w:rsidR="00000000" w:rsidDel="00000000" w:rsidP="00000000" w:rsidRDefault="00000000" w:rsidRPr="00000000">
      <w:pPr>
        <w:numPr>
          <w:ilvl w:val="1"/>
          <w:numId w:val="1"/>
        </w:numPr>
        <w:ind w:left="1440" w:hanging="360"/>
        <w:contextualSpacing w:val="1"/>
        <w:jc w:val="both"/>
        <w:rPr>
          <w:rFonts w:ascii="Arial" w:cs="Arial" w:eastAsia="Arial" w:hAnsi="Arial"/>
        </w:rPr>
      </w:pPr>
      <w:r w:rsidDel="00000000" w:rsidR="00000000" w:rsidRPr="00000000">
        <w:rPr>
          <w:rFonts w:ascii="Arial" w:cs="Arial" w:eastAsia="Arial" w:hAnsi="Arial"/>
          <w:rtl w:val="0"/>
        </w:rPr>
        <w:t xml:space="preserve">Describe the Evans’ method and how it can be used to get information about the spin state of a metal center. </w:t>
      </w:r>
    </w:p>
    <w:p w:rsidR="00000000" w:rsidDel="00000000" w:rsidP="00000000" w:rsidRDefault="00000000" w:rsidRPr="00000000">
      <w:pPr>
        <w:numPr>
          <w:ilvl w:val="1"/>
          <w:numId w:val="1"/>
        </w:numPr>
        <w:ind w:left="1440" w:hanging="360"/>
        <w:contextualSpacing w:val="1"/>
        <w:jc w:val="both"/>
        <w:rPr>
          <w:rFonts w:ascii="Arial" w:cs="Arial" w:eastAsia="Arial" w:hAnsi="Arial"/>
        </w:rPr>
      </w:pPr>
      <w:r w:rsidDel="00000000" w:rsidR="00000000" w:rsidRPr="00000000">
        <w:rPr>
          <w:rFonts w:ascii="Arial" w:cs="Arial" w:eastAsia="Arial" w:hAnsi="Arial"/>
          <w:rtl w:val="0"/>
        </w:rPr>
        <w:t xml:space="preserve">What other technique could be used to obtain the same information? </w:t>
      </w:r>
      <w:r w:rsidDel="00000000" w:rsidR="00000000" w:rsidRPr="00000000">
        <w:rPr>
          <w:rtl w:val="0"/>
        </w:rPr>
      </w:r>
    </w:p>
    <w:p w:rsidR="00000000" w:rsidDel="00000000" w:rsidP="00000000" w:rsidRDefault="00000000" w:rsidRPr="00000000">
      <w:pPr>
        <w:numPr>
          <w:ilvl w:val="0"/>
          <w:numId w:val="1"/>
        </w:numPr>
        <w:ind w:left="720" w:hanging="360"/>
        <w:contextualSpacing w:val="1"/>
        <w:jc w:val="both"/>
        <w:rPr>
          <w:rFonts w:ascii="Arial" w:cs="Arial" w:eastAsia="Arial" w:hAnsi="Arial"/>
        </w:rPr>
      </w:pPr>
      <w:r w:rsidDel="00000000" w:rsidR="00000000" w:rsidRPr="00000000">
        <w:rPr>
          <w:rFonts w:ascii="Arial" w:cs="Arial" w:eastAsia="Arial" w:hAnsi="Arial"/>
          <w:rtl w:val="0"/>
        </w:rPr>
        <w:t xml:space="preserve">In general, NMR is only useful to characterize organometallic species that are diamagnetic. However, the authors use NMR (Figure 1) to study conversion of dialkyl Fe complex </w:t>
      </w:r>
      <w:r w:rsidDel="00000000" w:rsidR="00000000" w:rsidRPr="00000000">
        <w:rPr>
          <w:rFonts w:ascii="Arial" w:cs="Arial" w:eastAsia="Arial" w:hAnsi="Arial"/>
          <w:b w:val="1"/>
          <w:rtl w:val="0"/>
        </w:rPr>
        <w:t xml:space="preserve">4</w:t>
      </w:r>
      <w:r w:rsidDel="00000000" w:rsidR="00000000" w:rsidRPr="00000000">
        <w:rPr>
          <w:rFonts w:ascii="Arial" w:cs="Arial" w:eastAsia="Arial" w:hAnsi="Arial"/>
          <w:rtl w:val="0"/>
        </w:rPr>
        <w:t xml:space="preserve"> to the iron bis(alkoxide) complex </w:t>
      </w:r>
      <w:r w:rsidDel="00000000" w:rsidR="00000000" w:rsidRPr="00000000">
        <w:rPr>
          <w:rFonts w:ascii="Arial" w:cs="Arial" w:eastAsia="Arial" w:hAnsi="Arial"/>
          <w:b w:val="1"/>
          <w:rtl w:val="0"/>
        </w:rPr>
        <w:t xml:space="preserve">5</w:t>
      </w:r>
      <w:r w:rsidDel="00000000" w:rsidR="00000000" w:rsidRPr="00000000">
        <w:rPr>
          <w:rFonts w:ascii="Arial" w:cs="Arial" w:eastAsia="Arial" w:hAnsi="Arial"/>
          <w:rtl w:val="0"/>
        </w:rPr>
        <w:t xml:space="preserve">, which are both paramagnetic complexes. </w:t>
      </w:r>
    </w:p>
    <w:p w:rsidR="00000000" w:rsidDel="00000000" w:rsidP="00000000" w:rsidRDefault="00000000" w:rsidRPr="00000000">
      <w:pPr>
        <w:numPr>
          <w:ilvl w:val="1"/>
          <w:numId w:val="1"/>
        </w:numPr>
        <w:ind w:left="1440" w:hanging="360"/>
        <w:contextualSpacing w:val="1"/>
        <w:jc w:val="both"/>
        <w:rPr>
          <w:rFonts w:ascii="Arial" w:cs="Arial" w:eastAsia="Arial" w:hAnsi="Arial"/>
        </w:rPr>
      </w:pPr>
      <w:r w:rsidDel="00000000" w:rsidR="00000000" w:rsidRPr="00000000">
        <w:rPr>
          <w:rFonts w:ascii="Arial" w:cs="Arial" w:eastAsia="Arial" w:hAnsi="Arial"/>
          <w:rtl w:val="0"/>
        </w:rPr>
        <w:t xml:space="preserve">How are these spectra different from those typically observed for diamagnetic complexes (look at Figure 1)? </w:t>
      </w:r>
    </w:p>
    <w:p w:rsidR="00000000" w:rsidDel="00000000" w:rsidP="00000000" w:rsidRDefault="00000000" w:rsidRPr="00000000">
      <w:pPr>
        <w:numPr>
          <w:ilvl w:val="1"/>
          <w:numId w:val="1"/>
        </w:numPr>
        <w:ind w:left="1440" w:hanging="360"/>
        <w:contextualSpacing w:val="1"/>
        <w:jc w:val="both"/>
        <w:rPr>
          <w:rFonts w:ascii="Arial" w:cs="Arial" w:eastAsia="Arial" w:hAnsi="Arial"/>
        </w:rPr>
      </w:pPr>
      <w:r w:rsidDel="00000000" w:rsidR="00000000" w:rsidRPr="00000000">
        <w:rPr>
          <w:rFonts w:ascii="Arial" w:cs="Arial" w:eastAsia="Arial" w:hAnsi="Arial"/>
          <w:rtl w:val="0"/>
        </w:rPr>
        <w:t xml:space="preserve">What are key features observed in the NMR spectra (Figure 1) that confirm that the reaction of complex </w:t>
      </w:r>
      <w:r w:rsidDel="00000000" w:rsidR="00000000" w:rsidRPr="00000000">
        <w:rPr>
          <w:rFonts w:ascii="Arial" w:cs="Arial" w:eastAsia="Arial" w:hAnsi="Arial"/>
          <w:b w:val="1"/>
          <w:rtl w:val="0"/>
        </w:rPr>
        <w:t xml:space="preserve">4</w:t>
      </w:r>
      <w:r w:rsidDel="00000000" w:rsidR="00000000" w:rsidRPr="00000000">
        <w:rPr>
          <w:rFonts w:ascii="Arial" w:cs="Arial" w:eastAsia="Arial" w:hAnsi="Arial"/>
          <w:rtl w:val="0"/>
        </w:rPr>
        <w:t xml:space="preserve"> with an alcohol produces complex </w:t>
      </w:r>
      <w:r w:rsidDel="00000000" w:rsidR="00000000" w:rsidRPr="00000000">
        <w:rPr>
          <w:rFonts w:ascii="Arial" w:cs="Arial" w:eastAsia="Arial" w:hAnsi="Arial"/>
          <w:b w:val="1"/>
          <w:rtl w:val="0"/>
        </w:rPr>
        <w:t xml:space="preserve">5</w:t>
      </w:r>
      <w:r w:rsidDel="00000000" w:rsidR="00000000" w:rsidRPr="00000000">
        <w:rPr>
          <w:rFonts w:ascii="Arial" w:cs="Arial" w:eastAsia="Arial" w:hAnsi="Arial"/>
          <w:rtl w:val="0"/>
        </w:rPr>
        <w:t xml:space="preserve">?</w:t>
      </w:r>
    </w:p>
    <w:p w:rsidR="00000000" w:rsidDel="00000000" w:rsidP="00000000" w:rsidRDefault="00000000" w:rsidRPr="00000000">
      <w:pPr>
        <w:numPr>
          <w:ilvl w:val="0"/>
          <w:numId w:val="1"/>
        </w:numPr>
        <w:ind w:left="720" w:hanging="360"/>
        <w:contextualSpacing w:val="1"/>
        <w:jc w:val="both"/>
        <w:rPr>
          <w:rFonts w:ascii="Arial" w:cs="Arial" w:eastAsia="Arial" w:hAnsi="Arial"/>
        </w:rPr>
      </w:pPr>
      <w:r w:rsidDel="00000000" w:rsidR="00000000" w:rsidRPr="00000000">
        <w:rPr>
          <w:rFonts w:ascii="Arial" w:cs="Arial" w:eastAsia="Arial" w:hAnsi="Arial"/>
          <w:rtl w:val="0"/>
        </w:rPr>
        <w:t xml:space="preserve">Use the CBC method to classify the ligands coordinated to the iron center in complexes </w:t>
      </w:r>
      <w:r w:rsidDel="00000000" w:rsidR="00000000" w:rsidRPr="00000000">
        <w:rPr>
          <w:rFonts w:ascii="Arial" w:cs="Arial" w:eastAsia="Arial" w:hAnsi="Arial"/>
          <w:b w:val="1"/>
          <w:rtl w:val="0"/>
        </w:rPr>
        <w:t xml:space="preserve">4</w:t>
      </w:r>
      <w:r w:rsidDel="00000000" w:rsidR="00000000" w:rsidRPr="00000000">
        <w:rPr>
          <w:rFonts w:ascii="Arial" w:cs="Arial" w:eastAsia="Arial" w:hAnsi="Arial"/>
          <w:rtl w:val="0"/>
        </w:rPr>
        <w:t xml:space="preserve"> and </w:t>
      </w:r>
      <w:r w:rsidDel="00000000" w:rsidR="00000000" w:rsidRPr="00000000">
        <w:rPr>
          <w:rFonts w:ascii="Arial" w:cs="Arial" w:eastAsia="Arial" w:hAnsi="Arial"/>
          <w:b w:val="1"/>
          <w:rtl w:val="0"/>
        </w:rPr>
        <w:t xml:space="preserve">5</w:t>
      </w:r>
      <w:r w:rsidDel="00000000" w:rsidR="00000000" w:rsidRPr="00000000">
        <w:rPr>
          <w:rFonts w:ascii="Arial" w:cs="Arial" w:eastAsia="Arial" w:hAnsi="Arial"/>
          <w:rtl w:val="0"/>
        </w:rPr>
        <w:t xml:space="preserve"> as L, X, or Z.</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rtl w:val="0"/>
        </w:rPr>
        <w:t xml:space="preserve">Mechanistic Questions</w:t>
      </w:r>
    </w:p>
    <w:p w:rsidR="00000000" w:rsidDel="00000000" w:rsidP="00000000" w:rsidRDefault="00000000" w:rsidRPr="00000000">
      <w:pPr>
        <w:numPr>
          <w:ilvl w:val="0"/>
          <w:numId w:val="1"/>
        </w:numPr>
        <w:ind w:left="720" w:hanging="360"/>
        <w:contextualSpacing w:val="1"/>
        <w:jc w:val="both"/>
        <w:rPr>
          <w:rFonts w:ascii="Arial" w:cs="Arial" w:eastAsia="Arial" w:hAnsi="Arial"/>
        </w:rPr>
      </w:pPr>
      <w:r w:rsidDel="00000000" w:rsidR="00000000" w:rsidRPr="00000000">
        <w:rPr>
          <w:rFonts w:ascii="Arial" w:cs="Arial" w:eastAsia="Arial" w:hAnsi="Arial"/>
          <w:rtl w:val="0"/>
        </w:rPr>
        <w:t xml:space="preserve">The authors investigated the mechanism of the polymerization reaction and provided evidence for their suggestion that the reaction was a </w:t>
      </w:r>
      <w:r w:rsidDel="00000000" w:rsidR="00000000" w:rsidRPr="00000000">
        <w:rPr>
          <w:rFonts w:ascii="Arial" w:cs="Arial" w:eastAsia="Arial" w:hAnsi="Arial"/>
          <w:i w:val="1"/>
          <w:rtl w:val="0"/>
        </w:rPr>
        <w:t xml:space="preserve">living polymerization</w:t>
      </w:r>
      <w:r w:rsidDel="00000000" w:rsidR="00000000" w:rsidRPr="00000000">
        <w:rPr>
          <w:rFonts w:ascii="Arial" w:cs="Arial" w:eastAsia="Arial" w:hAnsi="Arial"/>
          <w:rtl w:val="0"/>
        </w:rPr>
        <w:t xml:space="preserve">. </w:t>
      </w:r>
    </w:p>
    <w:p w:rsidR="00000000" w:rsidDel="00000000" w:rsidP="00000000" w:rsidRDefault="00000000" w:rsidRPr="00000000">
      <w:pPr>
        <w:numPr>
          <w:ilvl w:val="1"/>
          <w:numId w:val="1"/>
        </w:numPr>
        <w:ind w:left="1440" w:hanging="360"/>
        <w:contextualSpacing w:val="1"/>
        <w:jc w:val="both"/>
        <w:rPr>
          <w:rFonts w:ascii="Arial" w:cs="Arial" w:eastAsia="Arial" w:hAnsi="Arial"/>
        </w:rPr>
      </w:pPr>
      <w:r w:rsidDel="00000000" w:rsidR="00000000" w:rsidRPr="00000000">
        <w:rPr>
          <w:rFonts w:ascii="Arial" w:cs="Arial" w:eastAsia="Arial" w:hAnsi="Arial"/>
          <w:rtl w:val="0"/>
        </w:rPr>
        <w:t xml:space="preserve">What evidence supported the suggested classification? </w:t>
      </w:r>
    </w:p>
    <w:p w:rsidR="00000000" w:rsidDel="00000000" w:rsidP="00000000" w:rsidRDefault="00000000" w:rsidRPr="00000000">
      <w:pPr>
        <w:numPr>
          <w:ilvl w:val="1"/>
          <w:numId w:val="1"/>
        </w:numPr>
        <w:ind w:left="1440" w:hanging="360"/>
        <w:contextualSpacing w:val="1"/>
        <w:jc w:val="both"/>
        <w:rPr>
          <w:rFonts w:ascii="Arial" w:cs="Arial" w:eastAsia="Arial" w:hAnsi="Arial"/>
        </w:rPr>
      </w:pPr>
      <w:r w:rsidDel="00000000" w:rsidR="00000000" w:rsidRPr="00000000">
        <w:rPr>
          <w:rFonts w:ascii="Arial" w:cs="Arial" w:eastAsia="Arial" w:hAnsi="Arial"/>
          <w:rtl w:val="0"/>
        </w:rPr>
        <w:t xml:space="preserve">What evidence was not consistent with this classification? </w:t>
      </w:r>
      <w:r w:rsidDel="00000000" w:rsidR="00000000" w:rsidRPr="00000000">
        <w:rPr>
          <w:rtl w:val="0"/>
        </w:rPr>
      </w:r>
    </w:p>
    <w:p w:rsidR="00000000" w:rsidDel="00000000" w:rsidP="00000000" w:rsidRDefault="00000000" w:rsidRPr="00000000">
      <w:pPr>
        <w:numPr>
          <w:ilvl w:val="0"/>
          <w:numId w:val="1"/>
        </w:numPr>
        <w:ind w:left="720" w:hanging="360"/>
        <w:contextualSpacing w:val="1"/>
        <w:jc w:val="both"/>
        <w:rPr>
          <w:rFonts w:ascii="Arial" w:cs="Arial" w:eastAsia="Arial" w:hAnsi="Arial"/>
          <w:u w:val="none"/>
        </w:rPr>
      </w:pPr>
      <w:r w:rsidDel="00000000" w:rsidR="00000000" w:rsidRPr="00000000">
        <w:rPr>
          <w:rFonts w:ascii="Arial" w:cs="Arial" w:eastAsia="Arial" w:hAnsi="Arial"/>
          <w:rtl w:val="0"/>
        </w:rPr>
        <w:t xml:space="preserve">The paper mentions that Lewis acid metal complexes and NHCs are good catalysts to polymerize lactide. </w:t>
      </w:r>
    </w:p>
    <w:p w:rsidR="00000000" w:rsidDel="00000000" w:rsidP="00000000" w:rsidRDefault="00000000" w:rsidRPr="00000000">
      <w:pPr>
        <w:numPr>
          <w:ilvl w:val="1"/>
          <w:numId w:val="1"/>
        </w:numPr>
        <w:ind w:left="1440" w:hanging="360"/>
        <w:contextualSpacing w:val="1"/>
        <w:jc w:val="both"/>
        <w:rPr>
          <w:rFonts w:ascii="Arial" w:cs="Arial" w:eastAsia="Arial" w:hAnsi="Arial"/>
          <w:u w:val="none"/>
        </w:rPr>
      </w:pPr>
      <w:r w:rsidDel="00000000" w:rsidR="00000000" w:rsidRPr="00000000">
        <w:rPr>
          <w:rFonts w:ascii="Arial" w:cs="Arial" w:eastAsia="Arial" w:hAnsi="Arial"/>
          <w:rtl w:val="0"/>
        </w:rPr>
        <w:t xml:space="preserve">What </w:t>
      </w:r>
      <w:r w:rsidDel="00000000" w:rsidR="00000000" w:rsidRPr="00000000">
        <w:rPr>
          <w:rFonts w:ascii="Arial" w:cs="Arial" w:eastAsia="Arial" w:hAnsi="Arial"/>
          <w:rtl w:val="0"/>
        </w:rPr>
        <w:t xml:space="preserve">features in catalyst design</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why do these complexes serve as catalysts in this reaction</w:t>
      </w:r>
      <w:r w:rsidDel="00000000" w:rsidR="00000000" w:rsidRPr="00000000">
        <w:rPr>
          <w:rFonts w:ascii="Arial" w:cs="Arial" w:eastAsia="Arial" w:hAnsi="Arial"/>
          <w:rtl w:val="0"/>
        </w:rPr>
        <w:t xml:space="preserve">) are necessary to initiate lactide polymerization?</w:t>
      </w:r>
    </w:p>
    <w:p w:rsidR="00000000" w:rsidDel="00000000" w:rsidP="00000000" w:rsidRDefault="00000000" w:rsidRPr="00000000">
      <w:pPr>
        <w:numPr>
          <w:ilvl w:val="1"/>
          <w:numId w:val="1"/>
        </w:numPr>
        <w:ind w:left="1440" w:hanging="360"/>
        <w:contextualSpacing w:val="1"/>
        <w:jc w:val="both"/>
        <w:rPr>
          <w:rFonts w:ascii="Arial" w:cs="Arial" w:eastAsia="Arial" w:hAnsi="Arial"/>
          <w:u w:val="none"/>
        </w:rPr>
      </w:pPr>
      <w:r w:rsidDel="00000000" w:rsidR="00000000" w:rsidRPr="00000000">
        <w:rPr>
          <w:rFonts w:ascii="Arial" w:cs="Arial" w:eastAsia="Arial" w:hAnsi="Arial"/>
          <w:rtl w:val="0"/>
        </w:rPr>
        <w:t xml:space="preserve">Looking at Scheme 2, address why the authors were targeting complex 5. </w:t>
      </w:r>
      <w:r w:rsidDel="00000000" w:rsidR="00000000" w:rsidRPr="00000000">
        <w:rPr>
          <w:rtl w:val="0"/>
        </w:rPr>
      </w:r>
    </w:p>
    <w:p w:rsidR="00000000" w:rsidDel="00000000" w:rsidP="00000000" w:rsidRDefault="00000000" w:rsidRPr="00000000">
      <w:pPr>
        <w:numPr>
          <w:ilvl w:val="0"/>
          <w:numId w:val="1"/>
        </w:numPr>
        <w:ind w:left="720" w:hanging="360"/>
        <w:contextualSpacing w:val="1"/>
        <w:jc w:val="both"/>
        <w:rPr>
          <w:rFonts w:ascii="Arial" w:cs="Arial" w:eastAsia="Arial" w:hAnsi="Arial"/>
          <w:u w:val="none"/>
        </w:rPr>
      </w:pPr>
      <w:r w:rsidDel="00000000" w:rsidR="00000000" w:rsidRPr="00000000">
        <w:rPr>
          <w:rFonts w:ascii="Arial" w:cs="Arial" w:eastAsia="Arial" w:hAnsi="Arial"/>
          <w:rtl w:val="0"/>
        </w:rPr>
        <w:t xml:space="preserve">Coordination insertion is one mechanism used to make polymers using transition metal complexes. Find an example in the literature of ethylene polymerized via this mechanism. </w:t>
      </w:r>
    </w:p>
    <w:p w:rsidR="00000000" w:rsidDel="00000000" w:rsidP="00000000" w:rsidRDefault="00000000" w:rsidRPr="00000000">
      <w:pPr>
        <w:numPr>
          <w:ilvl w:val="0"/>
          <w:numId w:val="1"/>
        </w:numPr>
        <w:ind w:left="720" w:hanging="360"/>
        <w:contextualSpacing w:val="1"/>
        <w:jc w:val="both"/>
        <w:rPr>
          <w:rFonts w:ascii="Arial" w:cs="Arial" w:eastAsia="Arial" w:hAnsi="Arial"/>
        </w:rPr>
      </w:pPr>
      <w:r w:rsidDel="00000000" w:rsidR="00000000" w:rsidRPr="00000000">
        <w:rPr>
          <w:rFonts w:ascii="Arial" w:cs="Arial" w:eastAsia="Arial" w:hAnsi="Arial"/>
          <w:rtl w:val="0"/>
        </w:rPr>
        <w:t xml:space="preserve">An important term in catalysis chemistry is mol %, which is used to describe the catalyst loading. A lower value can indicate and more efficient catalyst. </w:t>
      </w:r>
    </w:p>
    <w:p w:rsidR="00000000" w:rsidDel="00000000" w:rsidP="00000000" w:rsidRDefault="00000000" w:rsidRPr="00000000">
      <w:pPr>
        <w:numPr>
          <w:ilvl w:val="1"/>
          <w:numId w:val="1"/>
        </w:numPr>
        <w:ind w:left="1440" w:hanging="360"/>
        <w:contextualSpacing w:val="1"/>
        <w:jc w:val="both"/>
        <w:rPr>
          <w:rFonts w:ascii="Arial" w:cs="Arial" w:eastAsia="Arial" w:hAnsi="Arial"/>
        </w:rPr>
      </w:pPr>
      <w:r w:rsidDel="00000000" w:rsidR="00000000" w:rsidRPr="00000000">
        <w:rPr>
          <w:rFonts w:ascii="Arial" w:cs="Arial" w:eastAsia="Arial" w:hAnsi="Arial"/>
          <w:rtl w:val="0"/>
        </w:rPr>
        <w:t xml:space="preserve">Write the equation for mol%. </w:t>
      </w:r>
    </w:p>
    <w:p w:rsidR="00000000" w:rsidDel="00000000" w:rsidP="00000000" w:rsidRDefault="00000000" w:rsidRPr="00000000">
      <w:pPr>
        <w:numPr>
          <w:ilvl w:val="1"/>
          <w:numId w:val="1"/>
        </w:numPr>
        <w:ind w:left="1440" w:hanging="360"/>
        <w:contextualSpacing w:val="1"/>
        <w:jc w:val="both"/>
        <w:rPr>
          <w:rFonts w:ascii="Arial" w:cs="Arial" w:eastAsia="Arial" w:hAnsi="Arial"/>
        </w:rPr>
      </w:pPr>
      <w:r w:rsidDel="00000000" w:rsidR="00000000" w:rsidRPr="00000000">
        <w:rPr>
          <w:rFonts w:ascii="Arial" w:cs="Arial" w:eastAsia="Arial" w:hAnsi="Arial"/>
          <w:rtl w:val="0"/>
        </w:rPr>
        <w:t xml:space="preserve">Determine the value for mol% when the authors used a 50:1 ratio of lactide monomer:Fe complex.</w:t>
      </w:r>
    </w:p>
    <w:p w:rsidR="00000000" w:rsidDel="00000000" w:rsidP="00000000" w:rsidRDefault="00000000" w:rsidRPr="00000000">
      <w:pPr>
        <w:numPr>
          <w:ilvl w:val="0"/>
          <w:numId w:val="1"/>
        </w:numPr>
        <w:ind w:left="720" w:hanging="360"/>
        <w:contextualSpacing w:val="1"/>
        <w:jc w:val="both"/>
        <w:rPr>
          <w:rFonts w:ascii="Arial" w:cs="Arial" w:eastAsia="Arial" w:hAnsi="Arial"/>
        </w:rPr>
      </w:pPr>
      <w:r w:rsidDel="00000000" w:rsidR="00000000" w:rsidRPr="00000000">
        <w:rPr>
          <w:rFonts w:ascii="Arial" w:cs="Arial" w:eastAsia="Arial" w:hAnsi="Arial"/>
          <w:rtl w:val="0"/>
        </w:rPr>
        <w:t xml:space="preserve">Assuming that all of the lactide is converted to polymer what would be the maximum </w:t>
      </w:r>
      <w:r w:rsidDel="00000000" w:rsidR="00000000" w:rsidRPr="00000000">
        <w:rPr>
          <w:rFonts w:ascii="Arial" w:cs="Arial" w:eastAsia="Arial" w:hAnsi="Arial"/>
          <w:i w:val="1"/>
          <w:rtl w:val="0"/>
        </w:rPr>
        <w:t xml:space="preserve">M</w:t>
      </w:r>
      <w:r w:rsidDel="00000000" w:rsidR="00000000" w:rsidRPr="00000000">
        <w:rPr>
          <w:rFonts w:ascii="Arial" w:cs="Arial" w:eastAsia="Arial" w:hAnsi="Arial"/>
          <w:i w:val="1"/>
          <w:vertAlign w:val="subscript"/>
          <w:rtl w:val="0"/>
        </w:rPr>
        <w:t xml:space="preserve">n</w:t>
      </w:r>
      <w:r w:rsidDel="00000000" w:rsidR="00000000" w:rsidRPr="00000000">
        <w:rPr>
          <w:rFonts w:ascii="Arial" w:cs="Arial" w:eastAsia="Arial" w:hAnsi="Arial"/>
          <w:rtl w:val="0"/>
        </w:rPr>
        <w:t xml:space="preserve"> observed in the polymerizations using 50 monomer equivalents </w:t>
      </w:r>
      <w:r w:rsidDel="00000000" w:rsidR="00000000" w:rsidRPr="00000000">
        <w:rPr>
          <w:rFonts w:ascii="Arial" w:cs="Arial" w:eastAsia="Arial" w:hAnsi="Arial"/>
          <w:b w:val="1"/>
          <w:rtl w:val="0"/>
        </w:rPr>
        <w:t xml:space="preserve">(This assumes a perfectly living polymerization and 1 alkoxide initiating)</w:t>
      </w:r>
      <w:r w:rsidDel="00000000" w:rsidR="00000000" w:rsidRPr="00000000">
        <w:rPr>
          <w:rFonts w:ascii="Arial" w:cs="Arial" w:eastAsia="Arial" w:hAnsi="Arial"/>
          <w:rtl w:val="0"/>
        </w:rPr>
        <w:t xml:space="preserve">. How does the % conversion change this value? Determine the expected </w:t>
      </w:r>
      <w:r w:rsidDel="00000000" w:rsidR="00000000" w:rsidRPr="00000000">
        <w:rPr>
          <w:rFonts w:ascii="Arial" w:cs="Arial" w:eastAsia="Arial" w:hAnsi="Arial"/>
          <w:i w:val="1"/>
          <w:rtl w:val="0"/>
        </w:rPr>
        <w:t xml:space="preserve">M</w:t>
      </w:r>
      <w:r w:rsidDel="00000000" w:rsidR="00000000" w:rsidRPr="00000000">
        <w:rPr>
          <w:rFonts w:ascii="Arial" w:cs="Arial" w:eastAsia="Arial" w:hAnsi="Arial"/>
          <w:i w:val="1"/>
          <w:vertAlign w:val="subscript"/>
          <w:rtl w:val="0"/>
        </w:rPr>
        <w:t xml:space="preserve">n</w:t>
      </w:r>
      <w:r w:rsidDel="00000000" w:rsidR="00000000" w:rsidRPr="00000000">
        <w:rPr>
          <w:rFonts w:ascii="Arial" w:cs="Arial" w:eastAsia="Arial" w:hAnsi="Arial"/>
          <w:rtl w:val="0"/>
        </w:rPr>
        <w:t xml:space="preserve"> values for entries 1-4 in Table 1 taking into consideration the conversions are less than 100%. </w:t>
      </w:r>
    </w:p>
    <w:p w:rsidR="00000000" w:rsidDel="00000000" w:rsidP="00000000" w:rsidRDefault="00000000" w:rsidRPr="00000000">
      <w:pPr>
        <w:numPr>
          <w:ilvl w:val="0"/>
          <w:numId w:val="1"/>
        </w:numPr>
        <w:ind w:left="720" w:hanging="360"/>
        <w:contextualSpacing w:val="1"/>
        <w:jc w:val="both"/>
        <w:rPr>
          <w:rFonts w:ascii="Arial" w:cs="Arial" w:eastAsia="Arial" w:hAnsi="Arial"/>
        </w:rPr>
      </w:pPr>
      <w:r w:rsidDel="00000000" w:rsidR="00000000" w:rsidRPr="00000000">
        <w:rPr>
          <w:rFonts w:ascii="Arial" w:cs="Arial" w:eastAsia="Arial" w:hAnsi="Arial"/>
          <w:rtl w:val="0"/>
        </w:rPr>
        <w:t xml:space="preserve">The active Fe species </w:t>
      </w:r>
      <w:r w:rsidDel="00000000" w:rsidR="00000000" w:rsidRPr="00000000">
        <w:rPr>
          <w:rFonts w:ascii="Arial" w:cs="Arial" w:eastAsia="Arial" w:hAnsi="Arial"/>
          <w:b w:val="1"/>
          <w:rtl w:val="0"/>
        </w:rPr>
        <w:t xml:space="preserve">5</w:t>
      </w:r>
      <w:r w:rsidDel="00000000" w:rsidR="00000000" w:rsidRPr="00000000">
        <w:rPr>
          <w:rFonts w:ascii="Arial" w:cs="Arial" w:eastAsia="Arial" w:hAnsi="Arial"/>
          <w:rtl w:val="0"/>
        </w:rPr>
        <w:t xml:space="preserve"> can be generated </w:t>
      </w:r>
      <w:r w:rsidDel="00000000" w:rsidR="00000000" w:rsidRPr="00000000">
        <w:rPr>
          <w:rFonts w:ascii="Arial" w:cs="Arial" w:eastAsia="Arial" w:hAnsi="Arial"/>
          <w:i w:val="1"/>
          <w:rtl w:val="0"/>
        </w:rPr>
        <w:t xml:space="preserve">in situ</w:t>
      </w:r>
      <w:r w:rsidDel="00000000" w:rsidR="00000000" w:rsidRPr="00000000">
        <w:rPr>
          <w:rFonts w:ascii="Arial" w:cs="Arial" w:eastAsia="Arial" w:hAnsi="Arial"/>
          <w:rtl w:val="0"/>
        </w:rPr>
        <w:t xml:space="preserve"> from complex </w:t>
      </w:r>
      <w:r w:rsidDel="00000000" w:rsidR="00000000" w:rsidRPr="00000000">
        <w:rPr>
          <w:rFonts w:ascii="Arial" w:cs="Arial" w:eastAsia="Arial" w:hAnsi="Arial"/>
          <w:b w:val="1"/>
          <w:rtl w:val="0"/>
        </w:rPr>
        <w:t xml:space="preserve">4</w:t>
      </w:r>
      <w:r w:rsidDel="00000000" w:rsidR="00000000" w:rsidRPr="00000000">
        <w:rPr>
          <w:rFonts w:ascii="Arial" w:cs="Arial" w:eastAsia="Arial" w:hAnsi="Arial"/>
          <w:rtl w:val="0"/>
        </w:rPr>
        <w:t xml:space="preserve">. What does </w:t>
      </w:r>
      <w:r w:rsidDel="00000000" w:rsidR="00000000" w:rsidRPr="00000000">
        <w:rPr>
          <w:rFonts w:ascii="Arial" w:cs="Arial" w:eastAsia="Arial" w:hAnsi="Arial"/>
          <w:i w:val="1"/>
          <w:rtl w:val="0"/>
        </w:rPr>
        <w:t xml:space="preserve">in situ</w:t>
      </w:r>
      <w:r w:rsidDel="00000000" w:rsidR="00000000" w:rsidRPr="00000000">
        <w:rPr>
          <w:rFonts w:ascii="Arial" w:cs="Arial" w:eastAsia="Arial" w:hAnsi="Arial"/>
          <w:rtl w:val="0"/>
        </w:rPr>
        <w:t xml:space="preserve"> mean and how did the authors generate </w:t>
      </w:r>
      <w:r w:rsidDel="00000000" w:rsidR="00000000" w:rsidRPr="00000000">
        <w:rPr>
          <w:rFonts w:ascii="Arial" w:cs="Arial" w:eastAsia="Arial" w:hAnsi="Arial"/>
          <w:b w:val="1"/>
          <w:rtl w:val="0"/>
        </w:rPr>
        <w:t xml:space="preserve">5</w:t>
      </w:r>
      <w:r w:rsidDel="00000000" w:rsidR="00000000" w:rsidRPr="00000000">
        <w:rPr>
          <w:rFonts w:ascii="Arial" w:cs="Arial" w:eastAsia="Arial" w:hAnsi="Arial"/>
          <w:rtl w:val="0"/>
        </w:rPr>
        <w:t xml:space="preserve"> in situ from complex </w:t>
      </w:r>
      <w:r w:rsidDel="00000000" w:rsidR="00000000" w:rsidRPr="00000000">
        <w:rPr>
          <w:rFonts w:ascii="Arial" w:cs="Arial" w:eastAsia="Arial" w:hAnsi="Arial"/>
          <w:b w:val="1"/>
          <w:rtl w:val="0"/>
        </w:rPr>
        <w:t xml:space="preserve">4</w:t>
      </w:r>
      <w:r w:rsidDel="00000000" w:rsidR="00000000" w:rsidRPr="00000000">
        <w:rPr>
          <w:rFonts w:ascii="Arial" w:cs="Arial" w:eastAsia="Arial" w:hAnsi="Arial"/>
          <w:rtl w:val="0"/>
        </w:rPr>
        <w:t xml:space="preserve">?</w:t>
      </w:r>
    </w:p>
    <w:p w:rsidR="00000000" w:rsidDel="00000000" w:rsidP="00000000" w:rsidRDefault="00000000" w:rsidRPr="00000000">
      <w:pPr>
        <w:numPr>
          <w:ilvl w:val="0"/>
          <w:numId w:val="1"/>
        </w:numPr>
        <w:ind w:left="720" w:hanging="360"/>
        <w:contextualSpacing w:val="1"/>
        <w:jc w:val="both"/>
        <w:rPr>
          <w:rFonts w:ascii="Arial" w:cs="Arial" w:eastAsia="Arial" w:hAnsi="Arial"/>
        </w:rPr>
      </w:pPr>
      <w:r w:rsidDel="00000000" w:rsidR="00000000" w:rsidRPr="00000000">
        <w:rPr>
          <w:rFonts w:ascii="Arial" w:cs="Arial" w:eastAsia="Arial" w:hAnsi="Arial"/>
          <w:rtl w:val="0"/>
        </w:rPr>
        <w:t xml:space="preserve">A study was conducted to evaluate if one or two alkoxides present on iron are able to initiate polymerization. The authors discovered that the identity of the initiator was important to observing whether one or two alkoxides initiated polymerization. </w:t>
      </w:r>
    </w:p>
    <w:p w:rsidR="00000000" w:rsidDel="00000000" w:rsidP="00000000" w:rsidRDefault="00000000" w:rsidRPr="00000000">
      <w:pPr>
        <w:numPr>
          <w:ilvl w:val="1"/>
          <w:numId w:val="1"/>
        </w:numPr>
        <w:ind w:left="1440" w:hanging="360"/>
        <w:contextualSpacing w:val="1"/>
        <w:jc w:val="both"/>
        <w:rPr>
          <w:rFonts w:ascii="Arial" w:cs="Arial" w:eastAsia="Arial" w:hAnsi="Arial"/>
        </w:rPr>
      </w:pPr>
      <w:r w:rsidDel="00000000" w:rsidR="00000000" w:rsidRPr="00000000">
        <w:rPr>
          <w:rFonts w:ascii="Arial" w:cs="Arial" w:eastAsia="Arial" w:hAnsi="Arial"/>
          <w:rtl w:val="0"/>
        </w:rPr>
        <w:t xml:space="preserve">What were the findings described in the paper? </w:t>
      </w:r>
    </w:p>
    <w:p w:rsidR="00000000" w:rsidDel="00000000" w:rsidP="00000000" w:rsidRDefault="00000000" w:rsidRPr="00000000">
      <w:pPr>
        <w:numPr>
          <w:ilvl w:val="1"/>
          <w:numId w:val="1"/>
        </w:numPr>
        <w:ind w:left="1440" w:hanging="360"/>
        <w:contextualSpacing w:val="1"/>
        <w:jc w:val="both"/>
        <w:rPr>
          <w:rFonts w:ascii="Arial" w:cs="Arial" w:eastAsia="Arial" w:hAnsi="Arial"/>
        </w:rPr>
      </w:pPr>
      <w:r w:rsidDel="00000000" w:rsidR="00000000" w:rsidRPr="00000000">
        <w:rPr>
          <w:rFonts w:ascii="Arial" w:cs="Arial" w:eastAsia="Arial" w:hAnsi="Arial"/>
          <w:rtl w:val="0"/>
        </w:rPr>
        <w:t xml:space="preserve">Why is this important in terms of living polymerization and the reaction mechanism?</w:t>
      </w:r>
    </w:p>
    <w:p w:rsidR="00000000" w:rsidDel="00000000" w:rsidP="00000000" w:rsidRDefault="00000000" w:rsidRPr="00000000">
      <w:pPr>
        <w:numPr>
          <w:ilvl w:val="0"/>
          <w:numId w:val="1"/>
        </w:numPr>
        <w:ind w:left="720" w:hanging="360"/>
        <w:contextualSpacing w:val="1"/>
        <w:jc w:val="both"/>
        <w:rPr>
          <w:rFonts w:ascii="Arial" w:cs="Arial" w:eastAsia="Arial" w:hAnsi="Arial"/>
        </w:rPr>
      </w:pPr>
      <w:r w:rsidDel="00000000" w:rsidR="00000000" w:rsidRPr="00000000">
        <w:rPr>
          <w:rFonts w:ascii="Arial" w:cs="Arial" w:eastAsia="Arial" w:hAnsi="Arial"/>
          <w:rtl w:val="0"/>
        </w:rPr>
        <w:t xml:space="preserve">One cool thing the authors discovered is the catalysis is “switchable”, which means the catalysis can be switched on and off. It was noted that the oxidation state of iron is critical to observing polymerization. </w:t>
      </w:r>
    </w:p>
    <w:p w:rsidR="00000000" w:rsidDel="00000000" w:rsidP="00000000" w:rsidRDefault="00000000" w:rsidRPr="00000000">
      <w:pPr>
        <w:numPr>
          <w:ilvl w:val="1"/>
          <w:numId w:val="1"/>
        </w:numPr>
        <w:ind w:left="1440" w:hanging="360"/>
        <w:contextualSpacing w:val="1"/>
        <w:jc w:val="both"/>
        <w:rPr>
          <w:rFonts w:ascii="Arial" w:cs="Arial" w:eastAsia="Arial" w:hAnsi="Arial"/>
        </w:rPr>
      </w:pPr>
      <w:r w:rsidDel="00000000" w:rsidR="00000000" w:rsidRPr="00000000">
        <w:rPr>
          <w:rFonts w:ascii="Arial" w:cs="Arial" w:eastAsia="Arial" w:hAnsi="Arial"/>
          <w:rtl w:val="0"/>
        </w:rPr>
        <w:t xml:space="preserve">What oxidation state for iron is necessary to turn on catalysis and what oxidation state for iron is not active for polymerization?</w:t>
      </w:r>
    </w:p>
    <w:p w:rsidR="00000000" w:rsidDel="00000000" w:rsidP="00000000" w:rsidRDefault="00000000" w:rsidRPr="00000000">
      <w:pPr>
        <w:numPr>
          <w:ilvl w:val="1"/>
          <w:numId w:val="1"/>
        </w:numPr>
        <w:ind w:left="1440" w:hanging="360"/>
        <w:contextualSpacing w:val="1"/>
        <w:jc w:val="both"/>
        <w:rPr>
          <w:rFonts w:ascii="Arial" w:cs="Arial" w:eastAsia="Arial" w:hAnsi="Arial"/>
        </w:rPr>
      </w:pPr>
      <w:r w:rsidDel="00000000" w:rsidR="00000000" w:rsidRPr="00000000">
        <w:rPr>
          <w:rFonts w:ascii="Arial" w:cs="Arial" w:eastAsia="Arial" w:hAnsi="Arial"/>
          <w:rtl w:val="0"/>
        </w:rPr>
        <w:t xml:space="preserve">To study the switchable catalysis the authors add ferrocenium (Fc</w:t>
      </w:r>
      <w:r w:rsidDel="00000000" w:rsidR="00000000" w:rsidRPr="00000000">
        <w:rPr>
          <w:rFonts w:ascii="Arial" w:cs="Arial" w:eastAsia="Arial" w:hAnsi="Arial"/>
          <w:vertAlign w:val="superscript"/>
          <w:rtl w:val="0"/>
        </w:rPr>
        <w:t xml:space="preserve">+</w:t>
      </w:r>
      <w:r w:rsidDel="00000000" w:rsidR="00000000" w:rsidRPr="00000000">
        <w:rPr>
          <w:rFonts w:ascii="Arial" w:cs="Arial" w:eastAsia="Arial" w:hAnsi="Arial"/>
          <w:rtl w:val="0"/>
        </w:rPr>
        <w:t xml:space="preserve">) hexaflurophosphate  and cobaltocene (Cp</w:t>
      </w:r>
      <w:r w:rsidDel="00000000" w:rsidR="00000000" w:rsidRPr="00000000">
        <w:rPr>
          <w:rFonts w:ascii="Arial" w:cs="Arial" w:eastAsia="Arial" w:hAnsi="Arial"/>
          <w:vertAlign w:val="subscript"/>
          <w:rtl w:val="0"/>
        </w:rPr>
        <w:t xml:space="preserve">2</w:t>
      </w:r>
      <w:r w:rsidDel="00000000" w:rsidR="00000000" w:rsidRPr="00000000">
        <w:rPr>
          <w:rFonts w:ascii="Arial" w:cs="Arial" w:eastAsia="Arial" w:hAnsi="Arial"/>
          <w:rtl w:val="0"/>
        </w:rPr>
        <w:t xml:space="preserve">Co). Identify which of these oxidizes </w:t>
      </w:r>
      <w:r w:rsidDel="00000000" w:rsidR="00000000" w:rsidRPr="00000000">
        <w:rPr>
          <w:rFonts w:ascii="Arial" w:cs="Arial" w:eastAsia="Arial" w:hAnsi="Arial"/>
          <w:b w:val="1"/>
          <w:rtl w:val="0"/>
        </w:rPr>
        <w:t xml:space="preserve">5a</w:t>
      </w:r>
      <w:r w:rsidDel="00000000" w:rsidR="00000000" w:rsidRPr="00000000">
        <w:rPr>
          <w:rFonts w:ascii="Arial" w:cs="Arial" w:eastAsia="Arial" w:hAnsi="Arial"/>
          <w:rtl w:val="0"/>
        </w:rPr>
        <w:t xml:space="preserve"> and which reduces </w:t>
      </w:r>
      <w:r w:rsidDel="00000000" w:rsidR="00000000" w:rsidRPr="00000000">
        <w:rPr>
          <w:rFonts w:ascii="Arial" w:cs="Arial" w:eastAsia="Arial" w:hAnsi="Arial"/>
          <w:b w:val="1"/>
          <w:rtl w:val="0"/>
        </w:rPr>
        <w:t xml:space="preserve">5a</w:t>
      </w:r>
      <w:r w:rsidDel="00000000" w:rsidR="00000000" w:rsidRPr="00000000">
        <w:rPr>
          <w:rFonts w:ascii="Arial" w:cs="Arial" w:eastAsia="Arial" w:hAnsi="Arial"/>
          <w:rtl w:val="0"/>
        </w:rPr>
        <w:t xml:space="preserve">. Explain the graph shown in Figure 8.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headerReference r:id="rId8"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both"/>
    </w:pPr>
    <w:r w:rsidDel="00000000" w:rsidR="00000000" w:rsidRPr="00000000">
      <w:rPr>
        <w:rFonts w:ascii="Arial" w:cs="Arial" w:eastAsia="Arial" w:hAnsi="Arial"/>
        <w:sz w:val="20"/>
        <w:szCs w:val="20"/>
        <w:rtl w:val="0"/>
      </w:rPr>
      <w:t xml:space="preserve">Created by Abby R. O’Connor (</w:t>
    </w:r>
    <w:r w:rsidDel="00000000" w:rsidR="00000000" w:rsidRPr="00000000">
      <w:rPr>
        <w:rFonts w:ascii="Arial" w:cs="Arial" w:eastAsia="Arial" w:hAnsi="Arial"/>
        <w:color w:val="002bf0"/>
        <w:sz w:val="20"/>
        <w:szCs w:val="20"/>
        <w:u w:val="single"/>
        <w:rtl w:val="0"/>
      </w:rPr>
      <w:t xml:space="preserve">oconnora@tcnj.edu</w:t>
    </w:r>
    <w:r w:rsidDel="00000000" w:rsidR="00000000" w:rsidRPr="00000000">
      <w:rPr>
        <w:rFonts w:ascii="Arial" w:cs="Arial" w:eastAsia="Arial" w:hAnsi="Arial"/>
        <w:sz w:val="20"/>
        <w:szCs w:val="20"/>
        <w:rtl w:val="0"/>
      </w:rPr>
      <w:t xml:space="preserve">) and posted on VIPEr on January, 2017.  Copyright Abby R. O’Connor.  This work is licensed under the Creative Commons Attribution Non-commercial Share Alike License. To view a copy of this license visit</w:t>
    </w:r>
    <w:hyperlink r:id="rId1">
      <w:r w:rsidDel="00000000" w:rsidR="00000000" w:rsidRPr="00000000">
        <w:rPr>
          <w:rFonts w:ascii="Arial" w:cs="Arial" w:eastAsia="Arial" w:hAnsi="Arial"/>
          <w:sz w:val="20"/>
          <w:szCs w:val="20"/>
          <w:rtl w:val="0"/>
        </w:rPr>
        <w:t xml:space="preserve"> </w:t>
      </w:r>
    </w:hyperlink>
    <w:hyperlink r:id="rId2">
      <w:r w:rsidDel="00000000" w:rsidR="00000000" w:rsidRPr="00000000">
        <w:rPr>
          <w:rFonts w:ascii="Arial" w:cs="Arial" w:eastAsia="Arial" w:hAnsi="Arial"/>
          <w:color w:val="002bf0"/>
          <w:sz w:val="20"/>
          <w:szCs w:val="20"/>
          <w:rtl w:val="0"/>
        </w:rPr>
        <w:t xml:space="preserve">http://creativecommons.org/about/license/</w:t>
      </w:r>
    </w:hyperlink>
    <w:r w:rsidDel="00000000" w:rsidR="00000000" w:rsidRPr="00000000">
      <w:rPr>
        <w:sz w:val="22"/>
        <w:szCs w:val="22"/>
        <w:rtl w:val="0"/>
      </w:rPr>
      <w:t xml:space="preserv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dx/doi/org/10.1021/ja407920d" TargetMode="External"/><Relationship Id="rId6" Type="http://schemas.openxmlformats.org/officeDocument/2006/relationships/hyperlink" Target="https://www.cmu.edu/maty/crp/features.html" TargetMode="External"/><Relationship Id="rId7" Type="http://schemas.openxmlformats.org/officeDocument/2006/relationships/hyperlink" Target="http://www.polyacs.org/725.html"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creativecommons.org/about/license/" TargetMode="External"/><Relationship Id="rId2" Type="http://schemas.openxmlformats.org/officeDocument/2006/relationships/hyperlink" Target="http://creativecommons.org/about/license/" TargetMode="External"/></Relationships>
</file>