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DEC6" w14:textId="77777777" w:rsidR="00424CD8" w:rsidRDefault="00424CD8" w:rsidP="00424C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Beyond the Average Structure: </w:t>
      </w:r>
    </w:p>
    <w:p w14:paraId="474E97BE" w14:textId="5E833296" w:rsidR="00424CD8" w:rsidRDefault="00424CD8" w:rsidP="00424C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Misfit and Superstructure of Chalcogenide Nanotubes</w:t>
      </w:r>
    </w:p>
    <w:p w14:paraId="2D203DAC" w14:textId="77777777" w:rsidR="00424CD8" w:rsidRDefault="00424CD8" w:rsidP="00424CD8">
      <w:pPr>
        <w:rPr>
          <w:sz w:val="24"/>
          <w:szCs w:val="24"/>
        </w:rPr>
      </w:pPr>
    </w:p>
    <w:p w14:paraId="48EACDAB" w14:textId="77777777" w:rsidR="00424CD8" w:rsidRDefault="00424CD8" w:rsidP="00424CD8">
      <w:pPr>
        <w:rPr>
          <w:i/>
          <w:iCs/>
          <w:sz w:val="24"/>
          <w:szCs w:val="24"/>
        </w:rPr>
      </w:pPr>
      <w:r w:rsidRPr="00BF1F09">
        <w:rPr>
          <w:sz w:val="24"/>
          <w:szCs w:val="24"/>
        </w:rPr>
        <w:t>Download the paper titled</w:t>
      </w:r>
      <w:r>
        <w:rPr>
          <w:sz w:val="24"/>
          <w:szCs w:val="24"/>
        </w:rPr>
        <w:t>:</w:t>
      </w:r>
      <w:r w:rsidRPr="00BF1F09">
        <w:rPr>
          <w:i/>
          <w:iCs/>
          <w:sz w:val="24"/>
          <w:szCs w:val="24"/>
        </w:rPr>
        <w:t xml:space="preserve"> </w:t>
      </w:r>
    </w:p>
    <w:p w14:paraId="72E0FF52" w14:textId="77777777" w:rsidR="00424CD8" w:rsidRPr="00BF1F09" w:rsidRDefault="00424CD8" w:rsidP="00424CD8">
      <w:pPr>
        <w:rPr>
          <w:sz w:val="24"/>
          <w:szCs w:val="24"/>
        </w:rPr>
      </w:pPr>
      <w:r w:rsidRPr="00BF1F09">
        <w:rPr>
          <w:i/>
          <w:iCs/>
          <w:sz w:val="24"/>
          <w:szCs w:val="24"/>
        </w:rPr>
        <w:t>Asymmetric misfit nanotubes: Chemical affinity outwits the entropy at high-temperature solid-state reactions</w:t>
      </w:r>
    </w:p>
    <w:p w14:paraId="3CAFE3B3" w14:textId="77777777" w:rsidR="00424CD8" w:rsidRDefault="00424CD8" w:rsidP="00424CD8">
      <w:pPr>
        <w:tabs>
          <w:tab w:val="left" w:pos="1502"/>
        </w:tabs>
        <w:jc w:val="both"/>
        <w:rPr>
          <w:sz w:val="24"/>
          <w:szCs w:val="24"/>
        </w:rPr>
      </w:pPr>
      <w:r w:rsidRPr="008B7B7C">
        <w:rPr>
          <w:sz w:val="24"/>
          <w:szCs w:val="24"/>
        </w:rPr>
        <w:t xml:space="preserve">The full paper and associated files can be found at </w:t>
      </w:r>
      <w:hyperlink r:id="rId7" w:history="1">
        <w:r w:rsidRPr="007E5401">
          <w:rPr>
            <w:rStyle w:val="Hyperlink"/>
            <w:sz w:val="24"/>
            <w:szCs w:val="24"/>
          </w:rPr>
          <w:t>https://doi.org/10.1073/pnas.2109945118</w:t>
        </w:r>
      </w:hyperlink>
      <w:r w:rsidRPr="008B7B7C">
        <w:rPr>
          <w:sz w:val="24"/>
          <w:szCs w:val="24"/>
        </w:rPr>
        <w:t>.</w:t>
      </w:r>
    </w:p>
    <w:p w14:paraId="55866689" w14:textId="67C8AB46" w:rsidR="00EF4014" w:rsidRPr="00CD4A05" w:rsidRDefault="00EF4014" w:rsidP="00EF4014">
      <w:pPr>
        <w:rPr>
          <w:b/>
          <w:bCs/>
          <w:sz w:val="24"/>
          <w:szCs w:val="24"/>
        </w:rPr>
      </w:pPr>
      <w:r w:rsidRPr="00CD4A05">
        <w:rPr>
          <w:b/>
          <w:bCs/>
          <w:sz w:val="24"/>
          <w:szCs w:val="24"/>
        </w:rPr>
        <w:t xml:space="preserve">Learning Objectives: </w:t>
      </w:r>
    </w:p>
    <w:p w14:paraId="6796CC96" w14:textId="0EB5736F" w:rsidR="00EF4014" w:rsidRDefault="00EF4014" w:rsidP="00EF4014">
      <w:pPr>
        <w:rPr>
          <w:sz w:val="24"/>
          <w:szCs w:val="24"/>
        </w:rPr>
      </w:pPr>
      <w:r>
        <w:rPr>
          <w:sz w:val="24"/>
          <w:szCs w:val="24"/>
        </w:rPr>
        <w:t>Define the terms “misfit” and “superstructure”</w:t>
      </w:r>
      <w:r w:rsidR="000B7225">
        <w:rPr>
          <w:sz w:val="24"/>
          <w:szCs w:val="24"/>
        </w:rPr>
        <w:t>.</w:t>
      </w:r>
    </w:p>
    <w:p w14:paraId="5795459A" w14:textId="621A27E3" w:rsidR="00EF4014" w:rsidRDefault="00EF4014" w:rsidP="00EF4014">
      <w:pPr>
        <w:rPr>
          <w:sz w:val="24"/>
          <w:szCs w:val="24"/>
        </w:rPr>
      </w:pPr>
      <w:r>
        <w:rPr>
          <w:sz w:val="24"/>
          <w:szCs w:val="24"/>
        </w:rPr>
        <w:t>Identify key experimental evidence of nanotubes with a misfit layered superstructure</w:t>
      </w:r>
      <w:r w:rsidR="000B7225">
        <w:rPr>
          <w:sz w:val="24"/>
          <w:szCs w:val="24"/>
        </w:rPr>
        <w:t>.</w:t>
      </w:r>
    </w:p>
    <w:p w14:paraId="460082CD" w14:textId="7CC4386C" w:rsidR="006506AA" w:rsidRDefault="006506AA" w:rsidP="00EF4014">
      <w:pPr>
        <w:rPr>
          <w:sz w:val="24"/>
          <w:szCs w:val="24"/>
        </w:rPr>
      </w:pPr>
      <w:r>
        <w:rPr>
          <w:sz w:val="24"/>
          <w:szCs w:val="24"/>
        </w:rPr>
        <w:t xml:space="preserve">Interpret </w:t>
      </w:r>
      <w:r w:rsidR="000B7225">
        <w:rPr>
          <w:sz w:val="24"/>
          <w:szCs w:val="24"/>
        </w:rPr>
        <w:t xml:space="preserve">diffraction and microscopy </w:t>
      </w:r>
      <w:r>
        <w:rPr>
          <w:sz w:val="24"/>
          <w:szCs w:val="24"/>
        </w:rPr>
        <w:t>data to characterize misfit layers compounds</w:t>
      </w:r>
    </w:p>
    <w:p w14:paraId="3908FD4B" w14:textId="576D13A9" w:rsidR="00EF4014" w:rsidRDefault="00EF4014" w:rsidP="00EF4014">
      <w:pPr>
        <w:rPr>
          <w:sz w:val="24"/>
          <w:szCs w:val="24"/>
        </w:rPr>
      </w:pPr>
      <w:r>
        <w:rPr>
          <w:sz w:val="24"/>
          <w:szCs w:val="24"/>
        </w:rPr>
        <w:t>Discuss the importance of misfit superstructures in technological applications.</w:t>
      </w:r>
    </w:p>
    <w:p w14:paraId="0E982BEA" w14:textId="28E11CC8" w:rsidR="00EF4014" w:rsidRDefault="00EF4014" w:rsidP="00EF4014">
      <w:pPr>
        <w:rPr>
          <w:sz w:val="24"/>
          <w:szCs w:val="24"/>
        </w:rPr>
      </w:pPr>
    </w:p>
    <w:p w14:paraId="5F19EF35" w14:textId="278D77C7" w:rsidR="00CC79DF" w:rsidRPr="006506AA" w:rsidRDefault="00CC79DF" w:rsidP="00EF4014">
      <w:pPr>
        <w:rPr>
          <w:b/>
          <w:bCs/>
          <w:sz w:val="24"/>
          <w:szCs w:val="24"/>
        </w:rPr>
      </w:pPr>
      <w:r w:rsidRPr="006506AA">
        <w:rPr>
          <w:b/>
          <w:bCs/>
          <w:sz w:val="24"/>
          <w:szCs w:val="24"/>
        </w:rPr>
        <w:t>Pre-Discussion Questions</w:t>
      </w:r>
    </w:p>
    <w:p w14:paraId="22E36139" w14:textId="64ECEBDE" w:rsidR="00EF4014" w:rsidRDefault="00EF4014" w:rsidP="00EF401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Who are the authors of this paper? What are their affiliations?</w:t>
      </w:r>
    </w:p>
    <w:p w14:paraId="7021813B" w14:textId="4FA9542E" w:rsidR="00EF4014" w:rsidRDefault="00EF4014" w:rsidP="00EF4014">
      <w:pPr>
        <w:pStyle w:val="ListParagraph"/>
        <w:rPr>
          <w:sz w:val="24"/>
          <w:szCs w:val="24"/>
        </w:rPr>
      </w:pPr>
    </w:p>
    <w:p w14:paraId="355DA649" w14:textId="77777777" w:rsidR="00274ECD" w:rsidRPr="00274ECD" w:rsidRDefault="00274ECD" w:rsidP="00EF4014">
      <w:pPr>
        <w:pStyle w:val="ListParagraph"/>
        <w:rPr>
          <w:i/>
          <w:iCs/>
          <w:sz w:val="24"/>
          <w:szCs w:val="24"/>
        </w:rPr>
      </w:pPr>
    </w:p>
    <w:p w14:paraId="5A2741BC" w14:textId="2F44C809" w:rsidR="00EF4014" w:rsidRDefault="00C46824" w:rsidP="00EF401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Explain why inversion symmetry is important to technological applications.</w:t>
      </w:r>
    </w:p>
    <w:p w14:paraId="4DCB5108" w14:textId="0F408762" w:rsidR="00EF4014" w:rsidRDefault="00EF4014" w:rsidP="00EF4014">
      <w:pPr>
        <w:pStyle w:val="ListParagraph"/>
        <w:rPr>
          <w:sz w:val="24"/>
          <w:szCs w:val="24"/>
        </w:rPr>
      </w:pPr>
    </w:p>
    <w:p w14:paraId="39966C6E" w14:textId="21D63BEC" w:rsidR="00C46824" w:rsidRPr="00EF4014" w:rsidRDefault="00C46824" w:rsidP="00EF4014">
      <w:pPr>
        <w:pStyle w:val="ListParagraph"/>
        <w:rPr>
          <w:sz w:val="24"/>
          <w:szCs w:val="24"/>
        </w:rPr>
      </w:pPr>
    </w:p>
    <w:p w14:paraId="657ED557" w14:textId="0C2A44BF" w:rsidR="00EF4014" w:rsidRDefault="00EF4014" w:rsidP="00EF401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meant by the term “Janus nanotube” or “Janus nanoparticle”?</w:t>
      </w:r>
    </w:p>
    <w:p w14:paraId="171F50B6" w14:textId="2BA9F122" w:rsidR="00EF4014" w:rsidRDefault="00EF4014" w:rsidP="00EF4014">
      <w:pPr>
        <w:pStyle w:val="ListParagraph"/>
        <w:rPr>
          <w:sz w:val="24"/>
          <w:szCs w:val="24"/>
        </w:rPr>
      </w:pPr>
    </w:p>
    <w:p w14:paraId="73B70856" w14:textId="77777777" w:rsidR="00FF0C94" w:rsidRPr="00EF4014" w:rsidRDefault="00FF0C94" w:rsidP="00EF4014">
      <w:pPr>
        <w:pStyle w:val="ListParagraph"/>
        <w:rPr>
          <w:sz w:val="24"/>
          <w:szCs w:val="24"/>
        </w:rPr>
      </w:pPr>
    </w:p>
    <w:p w14:paraId="4C9BFBFF" w14:textId="6A4E9BFC" w:rsidR="00EF4014" w:rsidRDefault="00EF4014" w:rsidP="00EF401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following acronyms are found in the paper. What do they represent? </w:t>
      </w:r>
    </w:p>
    <w:p w14:paraId="264C541F" w14:textId="77777777" w:rsidR="00EF4014" w:rsidRPr="00EF4014" w:rsidRDefault="00EF4014" w:rsidP="00EF4014">
      <w:pPr>
        <w:pStyle w:val="ListParagraph"/>
        <w:rPr>
          <w:sz w:val="24"/>
          <w:szCs w:val="24"/>
        </w:rPr>
      </w:pPr>
    </w:p>
    <w:p w14:paraId="4A76905F" w14:textId="0B3A7044" w:rsidR="006506AA" w:rsidRPr="0054545F" w:rsidRDefault="00EF4014" w:rsidP="0054545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XRD; TEM; STEM, HRSTEM; EDS</w:t>
      </w:r>
      <w:r w:rsidR="00CC79DF">
        <w:rPr>
          <w:sz w:val="24"/>
          <w:szCs w:val="24"/>
        </w:rPr>
        <w:t>; MLC; DFT</w:t>
      </w:r>
    </w:p>
    <w:p w14:paraId="6A76A707" w14:textId="77777777" w:rsidR="006506AA" w:rsidRDefault="006506AA" w:rsidP="00CC79DF">
      <w:pPr>
        <w:rPr>
          <w:i/>
          <w:iCs/>
          <w:sz w:val="24"/>
          <w:szCs w:val="24"/>
        </w:rPr>
      </w:pPr>
    </w:p>
    <w:p w14:paraId="7F50B781" w14:textId="77777777" w:rsidR="00B812DB" w:rsidRDefault="00B812D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4F3051A" w14:textId="284878D8" w:rsidR="00CC79DF" w:rsidRPr="006506AA" w:rsidRDefault="00CC79DF" w:rsidP="00CC79DF">
      <w:pPr>
        <w:rPr>
          <w:b/>
          <w:bCs/>
          <w:sz w:val="24"/>
          <w:szCs w:val="24"/>
        </w:rPr>
      </w:pPr>
      <w:r w:rsidRPr="006506AA">
        <w:rPr>
          <w:b/>
          <w:bCs/>
          <w:sz w:val="24"/>
          <w:szCs w:val="24"/>
        </w:rPr>
        <w:lastRenderedPageBreak/>
        <w:t>Discussion Questions</w:t>
      </w:r>
    </w:p>
    <w:p w14:paraId="19F93CEA" w14:textId="36D519B8" w:rsidR="00CC79DF" w:rsidRDefault="003D2401" w:rsidP="003D240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Figure 1A shows the </w:t>
      </w:r>
      <w:r w:rsidRPr="003D2401">
        <w:rPr>
          <w:sz w:val="24"/>
          <w:szCs w:val="24"/>
        </w:rPr>
        <w:t>LaS-TaS</w:t>
      </w:r>
      <w:r w:rsidRPr="00A25F38">
        <w:rPr>
          <w:sz w:val="24"/>
          <w:szCs w:val="24"/>
          <w:vertAlign w:val="subscript"/>
        </w:rPr>
        <w:t>2</w:t>
      </w:r>
      <w:r w:rsidRPr="003D2401">
        <w:rPr>
          <w:sz w:val="24"/>
          <w:szCs w:val="24"/>
        </w:rPr>
        <w:t xml:space="preserve"> MLC</w:t>
      </w:r>
      <w:r>
        <w:rPr>
          <w:sz w:val="24"/>
          <w:szCs w:val="24"/>
        </w:rPr>
        <w:t xml:space="preserve"> </w:t>
      </w:r>
      <w:r w:rsidRPr="003D2401">
        <w:rPr>
          <w:sz w:val="24"/>
          <w:szCs w:val="24"/>
        </w:rPr>
        <w:t>lattice</w:t>
      </w:r>
      <w:r>
        <w:rPr>
          <w:sz w:val="24"/>
          <w:szCs w:val="24"/>
        </w:rPr>
        <w:t xml:space="preserve">. What sublattices </w:t>
      </w:r>
      <w:r w:rsidR="0080737E">
        <w:rPr>
          <w:sz w:val="24"/>
          <w:szCs w:val="24"/>
        </w:rPr>
        <w:t xml:space="preserve">are </w:t>
      </w:r>
      <w:r>
        <w:rPr>
          <w:sz w:val="24"/>
          <w:szCs w:val="24"/>
        </w:rPr>
        <w:t xml:space="preserve">depicted here? How do the authors refer to each sublattice? In which direction(s) are the sublattices misfit? </w:t>
      </w:r>
      <w:r w:rsidR="00B812DB" w:rsidRPr="00B812DB">
        <w:rPr>
          <w:color w:val="0070C0"/>
          <w:sz w:val="24"/>
          <w:szCs w:val="24"/>
        </w:rPr>
        <w:t>Figure 1B may also be helpful.</w:t>
      </w:r>
    </w:p>
    <w:p w14:paraId="6D8C05E9" w14:textId="2FCBA1A0" w:rsidR="006C567B" w:rsidRDefault="006C567B" w:rsidP="006C567B">
      <w:pPr>
        <w:pStyle w:val="ListParagraph"/>
        <w:rPr>
          <w:sz w:val="24"/>
          <w:szCs w:val="24"/>
        </w:rPr>
      </w:pPr>
    </w:p>
    <w:p w14:paraId="424AECA8" w14:textId="77777777" w:rsidR="00052B09" w:rsidRPr="006C567B" w:rsidRDefault="00052B09" w:rsidP="006C567B">
      <w:pPr>
        <w:pStyle w:val="ListParagraph"/>
        <w:rPr>
          <w:i/>
          <w:iCs/>
          <w:sz w:val="24"/>
          <w:szCs w:val="24"/>
        </w:rPr>
      </w:pPr>
    </w:p>
    <w:p w14:paraId="239EC03D" w14:textId="214139E4" w:rsidR="003D2401" w:rsidRDefault="00A64263" w:rsidP="003D240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In Figure 1B, what do the black, </w:t>
      </w:r>
      <w:proofErr w:type="gramStart"/>
      <w:r>
        <w:rPr>
          <w:sz w:val="24"/>
          <w:szCs w:val="24"/>
        </w:rPr>
        <w:t>pink</w:t>
      </w:r>
      <w:proofErr w:type="gramEnd"/>
      <w:r>
        <w:rPr>
          <w:sz w:val="24"/>
          <w:szCs w:val="24"/>
        </w:rPr>
        <w:t xml:space="preserve"> and green lines represent? How is the incommensurate nature of the </w:t>
      </w:r>
      <w:r w:rsidRPr="0080737E">
        <w:rPr>
          <w:i/>
          <w:iCs/>
          <w:sz w:val="24"/>
          <w:szCs w:val="24"/>
        </w:rPr>
        <w:t>a</w:t>
      </w:r>
      <w:r>
        <w:rPr>
          <w:sz w:val="24"/>
          <w:szCs w:val="24"/>
        </w:rPr>
        <w:t xml:space="preserve">-axis different than the commensurate nature of the </w:t>
      </w:r>
      <w:r w:rsidRPr="0080737E">
        <w:rPr>
          <w:i/>
          <w:iCs/>
          <w:sz w:val="24"/>
          <w:szCs w:val="24"/>
        </w:rPr>
        <w:t>b</w:t>
      </w:r>
      <w:r>
        <w:rPr>
          <w:sz w:val="24"/>
          <w:szCs w:val="24"/>
        </w:rPr>
        <w:t>-axis?</w:t>
      </w:r>
    </w:p>
    <w:p w14:paraId="357780FB" w14:textId="77777777" w:rsidR="009A3C84" w:rsidRPr="001A1C8A" w:rsidRDefault="009A3C84" w:rsidP="001A1C8A">
      <w:pPr>
        <w:pStyle w:val="ListParagraph"/>
        <w:rPr>
          <w:i/>
          <w:iCs/>
          <w:sz w:val="24"/>
          <w:szCs w:val="24"/>
        </w:rPr>
      </w:pPr>
    </w:p>
    <w:p w14:paraId="51845CD8" w14:textId="64789966" w:rsidR="006506AA" w:rsidRDefault="00A64263" w:rsidP="0054545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At what </w:t>
      </w:r>
      <w:r w:rsidR="0080737E">
        <w:rPr>
          <w:sz w:val="24"/>
          <w:szCs w:val="24"/>
        </w:rPr>
        <w:t xml:space="preserve">critical </w:t>
      </w:r>
      <w:r>
        <w:rPr>
          <w:sz w:val="24"/>
          <w:szCs w:val="24"/>
        </w:rPr>
        <w:t>concentrations of Se does the nature of the sublattices change? What are the sublattices for</w:t>
      </w:r>
      <w:r w:rsidR="0080737E">
        <w:rPr>
          <w:sz w:val="24"/>
          <w:szCs w:val="24"/>
        </w:rPr>
        <w:t xml:space="preserve"> each critical concentration</w:t>
      </w:r>
      <w:r>
        <w:rPr>
          <w:sz w:val="24"/>
          <w:szCs w:val="24"/>
        </w:rPr>
        <w:t xml:space="preserve"> of Se? </w:t>
      </w:r>
      <w:r w:rsidR="002469AE">
        <w:rPr>
          <w:sz w:val="24"/>
          <w:szCs w:val="24"/>
        </w:rPr>
        <w:t xml:space="preserve">What </w:t>
      </w:r>
      <w:r w:rsidR="0080737E">
        <w:rPr>
          <w:sz w:val="24"/>
          <w:szCs w:val="24"/>
        </w:rPr>
        <w:t xml:space="preserve">change </w:t>
      </w:r>
      <w:r w:rsidR="002469AE">
        <w:rPr>
          <w:sz w:val="24"/>
          <w:szCs w:val="24"/>
        </w:rPr>
        <w:t xml:space="preserve">is observed in the XRD pattern </w:t>
      </w:r>
      <w:r w:rsidR="0080737E">
        <w:rPr>
          <w:sz w:val="24"/>
          <w:szCs w:val="24"/>
        </w:rPr>
        <w:t>at each critical concentration</w:t>
      </w:r>
      <w:r w:rsidR="002469AE">
        <w:rPr>
          <w:sz w:val="24"/>
          <w:szCs w:val="24"/>
        </w:rPr>
        <w:t xml:space="preserve">? </w:t>
      </w:r>
    </w:p>
    <w:p w14:paraId="37239AD1" w14:textId="77777777" w:rsidR="0054545F" w:rsidRPr="0054545F" w:rsidRDefault="0054545F" w:rsidP="0054545F">
      <w:pPr>
        <w:pStyle w:val="ListParagraph"/>
        <w:rPr>
          <w:sz w:val="24"/>
          <w:szCs w:val="24"/>
        </w:rPr>
      </w:pPr>
    </w:p>
    <w:p w14:paraId="01A1CC34" w14:textId="77777777" w:rsidR="0054545F" w:rsidRPr="0054545F" w:rsidRDefault="0054545F" w:rsidP="0054545F">
      <w:pPr>
        <w:pStyle w:val="ListParagraph"/>
        <w:rPr>
          <w:sz w:val="24"/>
          <w:szCs w:val="24"/>
        </w:rPr>
      </w:pPr>
    </w:p>
    <w:p w14:paraId="0FD6E068" w14:textId="3189057A" w:rsidR="002469AE" w:rsidRDefault="002469AE" w:rsidP="003D240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Calculate the </w:t>
      </w:r>
      <w:r w:rsidRPr="00A25F38">
        <w:rPr>
          <w:i/>
          <w:iCs/>
          <w:sz w:val="24"/>
          <w:szCs w:val="24"/>
        </w:rPr>
        <w:t>d</w:t>
      </w:r>
      <w:r>
        <w:rPr>
          <w:sz w:val="24"/>
          <w:szCs w:val="24"/>
        </w:rPr>
        <w:t xml:space="preserve">-spacing and </w:t>
      </w:r>
      <w:r w:rsidRPr="00A25F38">
        <w:rPr>
          <w:i/>
          <w:iCs/>
          <w:sz w:val="24"/>
          <w:szCs w:val="24"/>
        </w:rPr>
        <w:t>c</w:t>
      </w:r>
      <w:r>
        <w:rPr>
          <w:sz w:val="24"/>
          <w:szCs w:val="24"/>
        </w:rPr>
        <w:t xml:space="preserve">-axis length for the x = 0.2 and x = 0.8 concentrations. </w:t>
      </w:r>
    </w:p>
    <w:p w14:paraId="5CA1785F" w14:textId="77777777" w:rsidR="00234CFA" w:rsidRDefault="00234CFA" w:rsidP="00AE5563">
      <w:pPr>
        <w:pStyle w:val="ListParagraph"/>
        <w:rPr>
          <w:sz w:val="24"/>
          <w:szCs w:val="24"/>
        </w:rPr>
      </w:pPr>
    </w:p>
    <w:p w14:paraId="57ECBA1B" w14:textId="1C1B03DC" w:rsidR="0054545F" w:rsidRDefault="00A64263" w:rsidP="0054545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structure of </w:t>
      </w:r>
      <w:r w:rsidR="002469AE">
        <w:rPr>
          <w:sz w:val="24"/>
          <w:szCs w:val="24"/>
        </w:rPr>
        <w:t>Se concentration at x = 1.0</w:t>
      </w:r>
      <w:r w:rsidR="00A25F38">
        <w:rPr>
          <w:sz w:val="24"/>
          <w:szCs w:val="24"/>
        </w:rPr>
        <w:t>?</w:t>
      </w:r>
    </w:p>
    <w:p w14:paraId="536FDF78" w14:textId="77777777" w:rsidR="0054545F" w:rsidRPr="0054545F" w:rsidRDefault="0054545F" w:rsidP="0054545F">
      <w:pPr>
        <w:rPr>
          <w:sz w:val="24"/>
          <w:szCs w:val="24"/>
        </w:rPr>
      </w:pPr>
    </w:p>
    <w:p w14:paraId="35EB14EC" w14:textId="2208204C" w:rsidR="0050691D" w:rsidRDefault="0050691D" w:rsidP="003D240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What do the HRSTEM images indicate about the structure of x = 0.2 versus x = 0.8? </w:t>
      </w:r>
    </w:p>
    <w:p w14:paraId="5D83D7EE" w14:textId="77777777" w:rsidR="00551E9D" w:rsidRPr="0054545F" w:rsidRDefault="00551E9D" w:rsidP="0054545F">
      <w:pPr>
        <w:rPr>
          <w:sz w:val="24"/>
          <w:szCs w:val="24"/>
        </w:rPr>
      </w:pPr>
    </w:p>
    <w:p w14:paraId="170D3CBB" w14:textId="5B648901" w:rsidR="0050691D" w:rsidRPr="0054545F" w:rsidRDefault="00052B09" w:rsidP="0054545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Why do the authors project that the x = 2.0 structure </w:t>
      </w:r>
      <w:r w:rsidR="00B812DB">
        <w:rPr>
          <w:sz w:val="24"/>
          <w:szCs w:val="24"/>
        </w:rPr>
        <w:t xml:space="preserve">does </w:t>
      </w:r>
      <w:r>
        <w:rPr>
          <w:sz w:val="24"/>
          <w:szCs w:val="24"/>
        </w:rPr>
        <w:t xml:space="preserve">not exist? </w:t>
      </w:r>
    </w:p>
    <w:p w14:paraId="7573578F" w14:textId="4F65C4F8" w:rsidR="00CC79DF" w:rsidRPr="003D2401" w:rsidRDefault="00CC79DF" w:rsidP="003D2401">
      <w:pPr>
        <w:pStyle w:val="ListParagraph"/>
        <w:autoSpaceDE w:val="0"/>
        <w:autoSpaceDN w:val="0"/>
        <w:adjustRightInd w:val="0"/>
        <w:spacing w:after="0" w:line="240" w:lineRule="auto"/>
        <w:rPr>
          <w:rFonts w:ascii="AdvOT88ac8687" w:hAnsi="AdvOT88ac8687" w:cs="AdvOT88ac8687"/>
          <w:sz w:val="18"/>
          <w:szCs w:val="18"/>
        </w:rPr>
      </w:pPr>
    </w:p>
    <w:sectPr w:rsidR="00CC79DF" w:rsidRPr="003D2401" w:rsidSect="00D11FF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4B68D" w14:textId="77777777" w:rsidR="00862A28" w:rsidRDefault="00862A28" w:rsidP="008B7B7C">
      <w:pPr>
        <w:spacing w:after="0" w:line="240" w:lineRule="auto"/>
      </w:pPr>
      <w:r>
        <w:separator/>
      </w:r>
    </w:p>
  </w:endnote>
  <w:endnote w:type="continuationSeparator" w:id="0">
    <w:p w14:paraId="68D51FD3" w14:textId="77777777" w:rsidR="00862A28" w:rsidRDefault="00862A28" w:rsidP="008B7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OT88ac8687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F0CF" w14:textId="0DC7E4BB" w:rsidR="008B7B7C" w:rsidRPr="00424CD8" w:rsidRDefault="008B7B7C" w:rsidP="00424CD8">
    <w:pPr>
      <w:pStyle w:val="Footer"/>
      <w:jc w:val="both"/>
      <w:rPr>
        <w:sz w:val="20"/>
        <w:szCs w:val="20"/>
      </w:rPr>
    </w:pPr>
    <w:r w:rsidRPr="00424CD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A9D4D90" wp14:editId="79367502">
          <wp:simplePos x="0" y="0"/>
          <wp:positionH relativeFrom="column">
            <wp:posOffset>2796781</wp:posOffset>
          </wp:positionH>
          <wp:positionV relativeFrom="paragraph">
            <wp:posOffset>482190</wp:posOffset>
          </wp:positionV>
          <wp:extent cx="820906" cy="28673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906" cy="286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4CD8">
      <w:rPr>
        <w:sz w:val="20"/>
        <w:szCs w:val="20"/>
      </w:rPr>
      <w:t>Created by Robin T. Macaluso</w:t>
    </w:r>
    <w:r w:rsidRPr="00424CD8">
      <w:rPr>
        <w:rStyle w:val="Emphasis"/>
        <w:sz w:val="20"/>
        <w:szCs w:val="20"/>
      </w:rPr>
      <w:t>, University of Texas at Arlington, robin.macaluso@uta.edu</w:t>
    </w:r>
    <w:r w:rsidRPr="00424CD8">
      <w:rPr>
        <w:sz w:val="20"/>
        <w:szCs w:val="20"/>
      </w:rPr>
      <w:t xml:space="preserve"> and posted on </w:t>
    </w:r>
    <w:proofErr w:type="spellStart"/>
    <w:r w:rsidRPr="00424CD8">
      <w:rPr>
        <w:sz w:val="20"/>
        <w:szCs w:val="20"/>
      </w:rPr>
      <w:t>VIPEr</w:t>
    </w:r>
    <w:proofErr w:type="spellEnd"/>
    <w:r w:rsidRPr="00424CD8">
      <w:rPr>
        <w:sz w:val="20"/>
        <w:szCs w:val="20"/>
      </w:rPr>
      <w:t xml:space="preserve"> on [</w:t>
    </w:r>
    <w:r w:rsidRPr="00424CD8">
      <w:rPr>
        <w:rStyle w:val="Emphasis"/>
        <w:sz w:val="20"/>
        <w:szCs w:val="20"/>
      </w:rPr>
      <w:t>date 2023</w:t>
    </w:r>
    <w:r w:rsidRPr="00424CD8">
      <w:rPr>
        <w:sz w:val="20"/>
        <w:szCs w:val="20"/>
      </w:rPr>
      <w:t>], Copyright [</w:t>
    </w:r>
    <w:r w:rsidRPr="00424CD8">
      <w:rPr>
        <w:rStyle w:val="Emphasis"/>
        <w:sz w:val="20"/>
        <w:szCs w:val="20"/>
      </w:rPr>
      <w:t>name, 2023</w:t>
    </w:r>
    <w:r w:rsidRPr="00424CD8">
      <w:rPr>
        <w:sz w:val="20"/>
        <w:szCs w:val="20"/>
      </w:rPr>
      <w:t>]. This work is licensed under the Creative Commons Attribution-</w:t>
    </w:r>
    <w:proofErr w:type="spellStart"/>
    <w:r w:rsidRPr="00424CD8">
      <w:rPr>
        <w:sz w:val="20"/>
        <w:szCs w:val="20"/>
      </w:rPr>
      <w:t>NonCommercial</w:t>
    </w:r>
    <w:proofErr w:type="spellEnd"/>
    <w:r w:rsidR="00424CD8" w:rsidRPr="00424CD8">
      <w:rPr>
        <w:sz w:val="20"/>
        <w:szCs w:val="20"/>
      </w:rPr>
      <w:t>-</w:t>
    </w:r>
    <w:proofErr w:type="spellStart"/>
    <w:r w:rsidR="00424CD8" w:rsidRPr="00424CD8">
      <w:rPr>
        <w:sz w:val="20"/>
        <w:szCs w:val="20"/>
      </w:rPr>
      <w:t>ShareAlike</w:t>
    </w:r>
    <w:proofErr w:type="spellEnd"/>
    <w:r w:rsidR="00424CD8" w:rsidRPr="00424CD8">
      <w:rPr>
        <w:sz w:val="20"/>
        <w:szCs w:val="20"/>
      </w:rPr>
      <w:t xml:space="preserve"> </w:t>
    </w:r>
    <w:r w:rsidRPr="00424CD8">
      <w:rPr>
        <w:sz w:val="20"/>
        <w:szCs w:val="20"/>
      </w:rPr>
      <w:t xml:space="preserve">4.0 International License. To view a copy of this </w:t>
    </w:r>
    <w:proofErr w:type="gramStart"/>
    <w:r w:rsidRPr="00424CD8">
      <w:rPr>
        <w:sz w:val="20"/>
        <w:szCs w:val="20"/>
      </w:rPr>
      <w:t>license</w:t>
    </w:r>
    <w:proofErr w:type="gramEnd"/>
    <w:r w:rsidRPr="00424CD8">
      <w:rPr>
        <w:sz w:val="20"/>
        <w:szCs w:val="20"/>
      </w:rPr>
      <w:t xml:space="preserve"> visit </w:t>
    </w:r>
    <w:r w:rsidR="00424CD8" w:rsidRPr="00424CD8">
      <w:rPr>
        <w:sz w:val="20"/>
        <w:szCs w:val="20"/>
      </w:rPr>
      <w:t>https://creativecommons.org/licenses/by-nc-sa/4.0/</w:t>
    </w:r>
    <w:r w:rsidRPr="00424CD8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8626F" w14:textId="77777777" w:rsidR="00862A28" w:rsidRDefault="00862A28" w:rsidP="008B7B7C">
      <w:pPr>
        <w:spacing w:after="0" w:line="240" w:lineRule="auto"/>
      </w:pPr>
      <w:r>
        <w:separator/>
      </w:r>
    </w:p>
  </w:footnote>
  <w:footnote w:type="continuationSeparator" w:id="0">
    <w:p w14:paraId="5E3574FF" w14:textId="77777777" w:rsidR="00862A28" w:rsidRDefault="00862A28" w:rsidP="008B7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87CC6"/>
    <w:multiLevelType w:val="hybridMultilevel"/>
    <w:tmpl w:val="E87C9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04DE6"/>
    <w:multiLevelType w:val="hybridMultilevel"/>
    <w:tmpl w:val="61407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64627"/>
    <w:multiLevelType w:val="hybridMultilevel"/>
    <w:tmpl w:val="37E83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757126">
    <w:abstractNumId w:val="2"/>
  </w:num>
  <w:num w:numId="2" w16cid:durableId="1423912510">
    <w:abstractNumId w:val="1"/>
  </w:num>
  <w:num w:numId="3" w16cid:durableId="92079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81"/>
    <w:rsid w:val="00052B09"/>
    <w:rsid w:val="000B7225"/>
    <w:rsid w:val="001A1C8A"/>
    <w:rsid w:val="00234CFA"/>
    <w:rsid w:val="002469AE"/>
    <w:rsid w:val="00274ECD"/>
    <w:rsid w:val="003D2401"/>
    <w:rsid w:val="003E6BBF"/>
    <w:rsid w:val="00424CD8"/>
    <w:rsid w:val="0050691D"/>
    <w:rsid w:val="00511111"/>
    <w:rsid w:val="0054545F"/>
    <w:rsid w:val="0055180D"/>
    <w:rsid w:val="00551E9D"/>
    <w:rsid w:val="006506AA"/>
    <w:rsid w:val="006C567B"/>
    <w:rsid w:val="007B1BE0"/>
    <w:rsid w:val="007C2CA5"/>
    <w:rsid w:val="0080737E"/>
    <w:rsid w:val="00862A28"/>
    <w:rsid w:val="008B7B7C"/>
    <w:rsid w:val="009A3C84"/>
    <w:rsid w:val="00A25F38"/>
    <w:rsid w:val="00A64263"/>
    <w:rsid w:val="00AE5563"/>
    <w:rsid w:val="00B812DB"/>
    <w:rsid w:val="00C41F08"/>
    <w:rsid w:val="00C46824"/>
    <w:rsid w:val="00CC79DF"/>
    <w:rsid w:val="00CD4A05"/>
    <w:rsid w:val="00CF17A8"/>
    <w:rsid w:val="00D11FF6"/>
    <w:rsid w:val="00D41B2C"/>
    <w:rsid w:val="00E05581"/>
    <w:rsid w:val="00EF4014"/>
    <w:rsid w:val="00F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B308"/>
  <w15:chartTrackingRefBased/>
  <w15:docId w15:val="{3EC46AAC-1DC5-4F51-B3C2-4AF87DF1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01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1C8A"/>
    <w:rPr>
      <w:color w:val="808080"/>
    </w:rPr>
  </w:style>
  <w:style w:type="character" w:customStyle="1" w:styleId="markedcontent">
    <w:name w:val="markedcontent"/>
    <w:basedOn w:val="DefaultParagraphFont"/>
    <w:rsid w:val="00234CFA"/>
  </w:style>
  <w:style w:type="paragraph" w:styleId="Header">
    <w:name w:val="header"/>
    <w:basedOn w:val="Normal"/>
    <w:link w:val="HeaderChar"/>
    <w:uiPriority w:val="99"/>
    <w:unhideWhenUsed/>
    <w:rsid w:val="008B7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B7C"/>
  </w:style>
  <w:style w:type="paragraph" w:styleId="Footer">
    <w:name w:val="footer"/>
    <w:basedOn w:val="Normal"/>
    <w:link w:val="FooterChar"/>
    <w:uiPriority w:val="99"/>
    <w:unhideWhenUsed/>
    <w:rsid w:val="008B7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B7C"/>
  </w:style>
  <w:style w:type="character" w:styleId="Emphasis">
    <w:name w:val="Emphasis"/>
    <w:basedOn w:val="DefaultParagraphFont"/>
    <w:uiPriority w:val="20"/>
    <w:qFormat/>
    <w:rsid w:val="008B7B7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B7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073/pnas.21099451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Macaluso, Robin</dc:creator>
  <cp:keywords/>
  <dc:description/>
  <cp:lastModifiedBy>Macaluso, Robin</cp:lastModifiedBy>
  <cp:revision>5</cp:revision>
  <dcterms:created xsi:type="dcterms:W3CDTF">2023-03-16T15:56:00Z</dcterms:created>
  <dcterms:modified xsi:type="dcterms:W3CDTF">2023-03-19T18:06:00Z</dcterms:modified>
</cp:coreProperties>
</file>