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98E66" w14:textId="77777777" w:rsidR="008D452A" w:rsidRDefault="005909D0" w:rsidP="008D452A">
      <w:pPr>
        <w:pStyle w:val="NoSpacing"/>
        <w:rPr>
          <w:b/>
          <w:szCs w:val="24"/>
        </w:rPr>
      </w:pPr>
      <w:r w:rsidRPr="008D452A">
        <w:rPr>
          <w:b/>
        </w:rPr>
        <w:t>Kinetics of electrocatalytic reduction of CO</w:t>
      </w:r>
      <w:r w:rsidRPr="008D452A">
        <w:rPr>
          <w:b/>
          <w:vertAlign w:val="subscript"/>
        </w:rPr>
        <w:t>2</w:t>
      </w:r>
      <w:r w:rsidR="005D355E" w:rsidRPr="008D452A">
        <w:rPr>
          <w:b/>
        </w:rPr>
        <w:t xml:space="preserve"> with </w:t>
      </w:r>
      <w:r w:rsidR="005D355E" w:rsidRPr="008D452A">
        <w:rPr>
          <w:b/>
          <w:szCs w:val="24"/>
        </w:rPr>
        <w:t>manganese catalysts with bulky bipyridine ligands</w:t>
      </w:r>
    </w:p>
    <w:p w14:paraId="2BC8C569" w14:textId="77777777" w:rsidR="00B56B42" w:rsidRPr="00B56B42" w:rsidRDefault="00B56B42" w:rsidP="008D452A">
      <w:pPr>
        <w:pStyle w:val="NoSpacing"/>
        <w:rPr>
          <w:b/>
          <w:szCs w:val="24"/>
        </w:rPr>
      </w:pPr>
    </w:p>
    <w:p w14:paraId="491311EF" w14:textId="77777777" w:rsidR="002063A4" w:rsidRPr="002063A4" w:rsidRDefault="00400AFA" w:rsidP="0052182D">
      <w:pPr>
        <w:jc w:val="both"/>
      </w:pPr>
      <w:r w:rsidRPr="00400AFA">
        <w:rPr>
          <w:b/>
        </w:rPr>
        <w:t>Directions</w:t>
      </w:r>
      <w:r>
        <w:t xml:space="preserve">: </w:t>
      </w:r>
      <w:r w:rsidR="00B67069">
        <w:t>I</w:t>
      </w:r>
      <w:r w:rsidR="002063A4">
        <w:t>n</w:t>
      </w:r>
      <w:r w:rsidR="00B67069">
        <w:t xml:space="preserve"> the journal article</w:t>
      </w:r>
      <w:r w:rsidR="002063A4">
        <w:t xml:space="preserve"> Sampson, D.L.; Nguygen, D., Grice, K.A.; Moore, C.E.; Rheingold, A.L.; Kubiak, C.P. </w:t>
      </w:r>
      <w:r w:rsidR="002063A4" w:rsidRPr="002063A4">
        <w:rPr>
          <w:szCs w:val="24"/>
        </w:rPr>
        <w:t>Manganese Catalysts with Bulky Bipyridine Ligands for the Electrocatalytic Reduction of Carbon Dioxide:  Eliminating Dimerization and Altering Catalysis</w:t>
      </w:r>
      <w:r w:rsidR="002063A4">
        <w:rPr>
          <w:szCs w:val="24"/>
        </w:rPr>
        <w:t>.</w:t>
      </w:r>
      <w:r w:rsidR="002063A4">
        <w:rPr>
          <w:i/>
        </w:rPr>
        <w:t xml:space="preserve"> </w:t>
      </w:r>
      <w:r w:rsidR="0052182D">
        <w:rPr>
          <w:i/>
        </w:rPr>
        <w:t xml:space="preserve"> </w:t>
      </w:r>
      <w:r w:rsidR="002063A4">
        <w:rPr>
          <w:i/>
        </w:rPr>
        <w:t>J.</w:t>
      </w:r>
      <w:r w:rsidR="00DF18D6">
        <w:rPr>
          <w:i/>
        </w:rPr>
        <w:t xml:space="preserve"> </w:t>
      </w:r>
      <w:r w:rsidR="002063A4">
        <w:rPr>
          <w:i/>
        </w:rPr>
        <w:t>Am.</w:t>
      </w:r>
      <w:r w:rsidR="00DF18D6">
        <w:rPr>
          <w:i/>
        </w:rPr>
        <w:t xml:space="preserve"> </w:t>
      </w:r>
      <w:r w:rsidR="002063A4">
        <w:rPr>
          <w:i/>
        </w:rPr>
        <w:t>Chem.</w:t>
      </w:r>
      <w:r w:rsidR="00DF18D6">
        <w:rPr>
          <w:i/>
        </w:rPr>
        <w:t xml:space="preserve"> </w:t>
      </w:r>
      <w:r w:rsidR="002063A4">
        <w:rPr>
          <w:i/>
        </w:rPr>
        <w:t>Soc.</w:t>
      </w:r>
      <w:r w:rsidR="002063A4" w:rsidRPr="002063A4">
        <w:t xml:space="preserve"> </w:t>
      </w:r>
      <w:r w:rsidR="002063A4" w:rsidRPr="002063A4">
        <w:rPr>
          <w:b/>
        </w:rPr>
        <w:t>2014</w:t>
      </w:r>
      <w:r w:rsidR="002063A4">
        <w:t xml:space="preserve">, </w:t>
      </w:r>
      <w:r w:rsidR="002063A4">
        <w:rPr>
          <w:i/>
        </w:rPr>
        <w:t>136</w:t>
      </w:r>
      <w:r w:rsidR="002063A4">
        <w:t>, 5460-5471</w:t>
      </w:r>
      <w:r w:rsidR="00B67069">
        <w:t xml:space="preserve">, the authors studied the kinetics of </w:t>
      </w:r>
      <w:r w:rsidR="009A1F33">
        <w:t>the electro</w:t>
      </w:r>
      <w:r w:rsidR="00B67069">
        <w:t xml:space="preserve">catalytic </w:t>
      </w:r>
      <w:r w:rsidR="009A1F33">
        <w:t>reduction of carbon dioxide</w:t>
      </w:r>
      <w:r w:rsidR="00B67069">
        <w:t>.  Carefully read pages 5464-5465</w:t>
      </w:r>
      <w:r w:rsidR="009A1F33">
        <w:t xml:space="preserve"> with a</w:t>
      </w:r>
      <w:r w:rsidR="00570B09">
        <w:t xml:space="preserve"> </w:t>
      </w:r>
      <w:r w:rsidR="009A1F33">
        <w:t>f</w:t>
      </w:r>
      <w:r w:rsidR="00570B09">
        <w:t xml:space="preserve">ocus on the </w:t>
      </w:r>
      <w:r w:rsidR="00570B09" w:rsidRPr="00570B09">
        <w:rPr>
          <w:i/>
        </w:rPr>
        <w:t>Electrocatalysis</w:t>
      </w:r>
      <w:r w:rsidR="00570B09">
        <w:t xml:space="preserve"> portion of the </w:t>
      </w:r>
      <w:r w:rsidR="00570B09" w:rsidRPr="00A11F30">
        <w:rPr>
          <w:b/>
        </w:rPr>
        <w:t>Results and Discussion</w:t>
      </w:r>
      <w:r w:rsidR="00570B09">
        <w:t xml:space="preserve"> section</w:t>
      </w:r>
      <w:r w:rsidR="009A1F33">
        <w:t xml:space="preserve"> to help answer the following questions</w:t>
      </w:r>
      <w:r w:rsidR="00570B09">
        <w:t xml:space="preserve">. </w:t>
      </w:r>
      <w:r w:rsidR="00B67069">
        <w:t xml:space="preserve"> </w:t>
      </w:r>
      <w:r w:rsidR="00023471">
        <w:t xml:space="preserve"> </w:t>
      </w:r>
    </w:p>
    <w:p w14:paraId="7BA3E346" w14:textId="77777777" w:rsidR="00B9267A" w:rsidRPr="00B9267A" w:rsidRDefault="00BF1DE4" w:rsidP="00DF18D6">
      <w:pPr>
        <w:rPr>
          <w:b/>
        </w:rPr>
      </w:pPr>
      <w:r w:rsidRPr="00BF1DE4">
        <w:rPr>
          <w:b/>
        </w:rPr>
        <w:t>Q</w:t>
      </w:r>
      <w:r w:rsidR="00B9267A" w:rsidRPr="00B9267A">
        <w:rPr>
          <w:b/>
        </w:rPr>
        <w:t>uestions:</w:t>
      </w:r>
    </w:p>
    <w:p w14:paraId="3AC1C489" w14:textId="3B767F84" w:rsidR="00B56B42" w:rsidRDefault="00C2529E" w:rsidP="00C2529E">
      <w:pPr>
        <w:jc w:val="both"/>
      </w:pPr>
      <w:r>
        <w:t xml:space="preserve">1. </w:t>
      </w:r>
      <w:r w:rsidR="00B9267A">
        <w:t>Identify</w:t>
      </w:r>
      <w:r w:rsidR="00BF1DE4">
        <w:t>, in general,</w:t>
      </w:r>
      <w:r w:rsidR="00B9267A">
        <w:t xml:space="preserve"> the experimental conditions </w:t>
      </w:r>
      <w:r w:rsidR="00BF1DE4">
        <w:t>required</w:t>
      </w:r>
      <w:r w:rsidR="00B9267A">
        <w:t xml:space="preserve"> for the pseudo-first-order kinetics assumption to be valid.</w:t>
      </w:r>
      <w:r w:rsidR="007956B3">
        <w:t xml:space="preserve"> </w:t>
      </w:r>
      <w:r w:rsidR="00A11F30">
        <w:t>Consult the article and s</w:t>
      </w:r>
      <w:r w:rsidR="007956B3">
        <w:t xml:space="preserve">pecify </w:t>
      </w:r>
      <w:r w:rsidR="00DF18D6">
        <w:t xml:space="preserve">the pseudo-first-order conditions applied in this study.  </w:t>
      </w:r>
      <w:r w:rsidR="007956B3">
        <w:t xml:space="preserve"> </w:t>
      </w:r>
      <w:r w:rsidR="00B9267A" w:rsidRPr="00B9267A">
        <w:tab/>
      </w:r>
    </w:p>
    <w:p w14:paraId="5820C61C" w14:textId="77777777" w:rsidR="00C2529E" w:rsidRDefault="00C2529E" w:rsidP="00C2529E"/>
    <w:p w14:paraId="369D941C" w14:textId="4B8EA694" w:rsidR="00814DD7" w:rsidRPr="00814DD7" w:rsidRDefault="00243A9F" w:rsidP="006D07BD">
      <w:pPr>
        <w:jc w:val="both"/>
      </w:pPr>
      <w:r>
        <w:t>2</w:t>
      </w:r>
      <w:r w:rsidR="00814DD7" w:rsidRPr="00814DD7">
        <w:t xml:space="preserve">. </w:t>
      </w:r>
      <w:r w:rsidR="00814DD7">
        <w:t xml:space="preserve">Identify each of the terms in the equation below. Describe how this compares to the </w:t>
      </w:r>
      <w:r w:rsidR="00814DD7">
        <w:rPr>
          <w:i/>
        </w:rPr>
        <w:t xml:space="preserve">more familiar </w:t>
      </w:r>
      <w:r w:rsidR="00814DD7">
        <w:t xml:space="preserve">molarity </w:t>
      </w:r>
      <w:r w:rsidR="00814DD7" w:rsidRPr="00B172CD">
        <w:rPr>
          <w:i/>
        </w:rPr>
        <w:t>versus</w:t>
      </w:r>
      <w:r w:rsidR="00814DD7">
        <w:t xml:space="preserve"> time in rate law. </w:t>
      </w:r>
    </w:p>
    <w:p w14:paraId="4C06BD00" w14:textId="0793B9BA" w:rsidR="00C2529E" w:rsidRDefault="008703C9" w:rsidP="00023471">
      <w:pPr>
        <w:jc w:val="center"/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cs="Times New Roman"/>
                <w:i/>
              </w:rPr>
              <m:t>i</m:t>
            </m:r>
          </m:e>
          <m:sub>
            <m:r>
              <m:rPr>
                <m:nor/>
              </m:rPr>
              <w:rPr>
                <w:rFonts w:cs="Times New Roman"/>
              </w:rPr>
              <m:t>cat</m:t>
            </m:r>
          </m:sub>
        </m:sSub>
        <m:r>
          <m:rPr>
            <m:nor/>
          </m:rPr>
          <w:rPr>
            <w:rFonts w:ascii="Cambria Math" w:cs="Times New Roman"/>
          </w:rPr>
          <m:t xml:space="preserve"> </m:t>
        </m:r>
        <m:r>
          <m:rPr>
            <m:nor/>
          </m:rPr>
          <w:rPr>
            <w:rFonts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m:rPr>
                <m:nor/>
              </m:rPr>
              <w:rPr>
                <w:rFonts w:ascii="Cambria Math" w:cs="Times New Roman"/>
                <w:i/>
              </w:rPr>
              <m:t xml:space="preserve"> </m:t>
            </m:r>
            <m:r>
              <m:rPr>
                <m:nor/>
              </m:rPr>
              <w:rPr>
                <w:rFonts w:cs="Times New Roman"/>
                <w:i/>
              </w:rPr>
              <m:t>n</m:t>
            </m:r>
          </m:e>
          <m:sub>
            <m:r>
              <m:rPr>
                <m:nor/>
              </m:rPr>
              <w:rPr>
                <w:rFonts w:cs="Times New Roman"/>
              </w:rPr>
              <m:t>cat</m:t>
            </m:r>
          </m:sub>
        </m:sSub>
        <m:r>
          <m:rPr>
            <m:nor/>
          </m:rPr>
          <w:rPr>
            <w:rFonts w:cs="Times New Roman"/>
            <w:i/>
          </w:rPr>
          <m:t>FA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nor/>
                  </m:rPr>
                  <w:rPr>
                    <w:rFonts w:cs="Times New Roman"/>
                  </w:rPr>
                  <m:t>cat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x</m:t>
            </m:r>
          </m:sup>
        </m:sSup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m:rPr>
                    <m:nor/>
                  </m:rPr>
                  <w:rPr>
                    <w:rFonts w:cs="Times New Roman"/>
                    <w:i/>
                  </w:rPr>
                  <m:t>D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bPr>
                  <m:e>
                    <m:r>
                      <m:rPr>
                        <m:nor/>
                      </m:rPr>
                      <w:rPr>
                        <w:rFonts w:cs="Times New Roman"/>
                        <w:i/>
                      </w:rPr>
                      <m:t>k</m:t>
                    </m:r>
                  </m:e>
                  <m:sub>
                    <m:r>
                      <m:rPr>
                        <m:nor/>
                      </m:rPr>
                      <w:rPr>
                        <w:rFonts w:cs="Times New Roman"/>
                      </w:rPr>
                      <m:t>cat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</w:rPr>
                        </m:ctrlPr>
                      </m:dPr>
                      <m:e>
                        <m:r>
                          <m:rPr>
                            <m:nor/>
                          </m:rPr>
                          <w:rPr>
                            <w:rFonts w:cs="Times New Roman"/>
                          </w:rPr>
                          <m:t>Q</m:t>
                        </m:r>
                      </m:e>
                    </m:d>
                  </m:e>
                  <m:sup>
                    <m:r>
                      <m:rPr>
                        <m:nor/>
                      </m:rPr>
                      <w:rPr>
                        <w:rFonts w:cs="Times New Roman"/>
                        <w:i/>
                      </w:rPr>
                      <m:t>y</m:t>
                    </m:r>
                  </m:sup>
                </m:sSup>
              </m:e>
            </m:d>
          </m:e>
          <m:sup>
            <m:r>
              <m:rPr>
                <m:nor/>
              </m:rPr>
              <w:rPr>
                <w:rFonts w:cs="Times New Roman"/>
              </w:rPr>
              <m:t>1/2</m:t>
            </m:r>
          </m:sup>
        </m:sSup>
      </m:oMath>
      <w:r w:rsidR="003A6492"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 w:rsidR="003A6492">
        <w:rPr>
          <w:rFonts w:eastAsiaTheme="minorEastAsia"/>
        </w:rPr>
        <w:t>(</w:t>
      </w:r>
      <w:r w:rsidR="003A6492" w:rsidRPr="003A6492">
        <w:rPr>
          <w:rFonts w:eastAsiaTheme="minorEastAsia"/>
          <w:b/>
        </w:rPr>
        <w:t>eq 1</w:t>
      </w:r>
      <w:r w:rsidR="003A6492">
        <w:rPr>
          <w:rFonts w:eastAsiaTheme="minorEastAsia"/>
        </w:rPr>
        <w:t>)</w:t>
      </w:r>
    </w:p>
    <w:p w14:paraId="4948CD5E" w14:textId="77777777" w:rsidR="00C2529E" w:rsidRDefault="00C2529E" w:rsidP="00023471">
      <w:pPr>
        <w:jc w:val="center"/>
        <w:rPr>
          <w:rFonts w:eastAsiaTheme="minorEastAsia"/>
        </w:rPr>
      </w:pPr>
    </w:p>
    <w:p w14:paraId="20E5C7B3" w14:textId="173A9B6C" w:rsidR="00D74B96" w:rsidRPr="00AD32FA" w:rsidRDefault="00D74B96" w:rsidP="006D07BD">
      <w:pPr>
        <w:pStyle w:val="NoSpacing"/>
        <w:jc w:val="both"/>
      </w:pPr>
      <w:r>
        <w:t xml:space="preserve">3. </w:t>
      </w:r>
      <w:r w:rsidR="001B7F3D">
        <w:t xml:space="preserve">For a reaction in which a species </w:t>
      </w:r>
      <w:r w:rsidR="001B7F3D">
        <w:rPr>
          <w:b/>
        </w:rPr>
        <w:t>A</w:t>
      </w:r>
      <w:r w:rsidR="001B7F3D">
        <w:t xml:space="preserve"> is consumed, sketch </w:t>
      </w:r>
      <w:r w:rsidR="00AD32FA">
        <w:t>plots</w:t>
      </w:r>
      <w:r w:rsidR="006D07BD">
        <w:t xml:space="preserve"> </w:t>
      </w:r>
      <w:r w:rsidR="001B7F3D">
        <w:t>in which</w:t>
      </w:r>
      <w:r w:rsidR="00AD32FA">
        <w:t xml:space="preserve"> [</w:t>
      </w:r>
      <w:r w:rsidR="00AD32FA" w:rsidRPr="00B172CD">
        <w:rPr>
          <w:b/>
        </w:rPr>
        <w:t>A</w:t>
      </w:r>
      <w:r w:rsidR="00AD32FA">
        <w:t>], ln[</w:t>
      </w:r>
      <w:r w:rsidR="00AD32FA" w:rsidRPr="00B172CD">
        <w:rPr>
          <w:b/>
        </w:rPr>
        <w:t>A</w:t>
      </w:r>
      <w:r w:rsidR="00AD32FA">
        <w:t>], or 1/[</w:t>
      </w:r>
      <w:r w:rsidR="00AD32FA" w:rsidRPr="00B172CD">
        <w:rPr>
          <w:b/>
        </w:rPr>
        <w:t>A</w:t>
      </w:r>
      <w:r w:rsidR="00AD32FA">
        <w:t xml:space="preserve">] </w:t>
      </w:r>
      <w:r w:rsidR="00AD32FA">
        <w:rPr>
          <w:i/>
        </w:rPr>
        <w:t>versus</w:t>
      </w:r>
      <w:r w:rsidR="00AD32FA">
        <w:t xml:space="preserve"> time </w:t>
      </w:r>
      <w:r w:rsidR="001B7F3D">
        <w:t>are linear.</w:t>
      </w:r>
      <w:r w:rsidR="00A11F30">
        <w:t xml:space="preserve"> C</w:t>
      </w:r>
      <w:r w:rsidR="00D26654">
        <w:t>lassify</w:t>
      </w:r>
      <w:r w:rsidR="00AD32FA">
        <w:t xml:space="preserve"> </w:t>
      </w:r>
      <w:r w:rsidR="00D26654">
        <w:t xml:space="preserve">each </w:t>
      </w:r>
      <w:r w:rsidR="00AD32FA">
        <w:t>as zero-, first-, or second-order</w:t>
      </w:r>
      <w:r w:rsidR="00D26654">
        <w:t xml:space="preserve"> in </w:t>
      </w:r>
      <w:r w:rsidR="00B172CD" w:rsidRPr="00B172CD">
        <w:t>species</w:t>
      </w:r>
      <w:r w:rsidR="00B172CD">
        <w:t xml:space="preserve"> </w:t>
      </w:r>
      <w:r w:rsidR="00D26654" w:rsidRPr="00B172CD">
        <w:rPr>
          <w:b/>
        </w:rPr>
        <w:t>A</w:t>
      </w:r>
      <w:r w:rsidR="00AD32FA">
        <w:t>.</w:t>
      </w:r>
      <w:r w:rsidR="00D03639">
        <w:t xml:space="preserve"> </w:t>
      </w:r>
    </w:p>
    <w:p w14:paraId="2A2AECA1" w14:textId="77777777" w:rsidR="00D74B96" w:rsidRDefault="00D74B96" w:rsidP="00D74B96">
      <w:pPr>
        <w:pStyle w:val="NoSpacing"/>
      </w:pPr>
    </w:p>
    <w:p w14:paraId="5247EA7D" w14:textId="77777777" w:rsidR="009A2D4A" w:rsidRDefault="009A2D4A">
      <w:r>
        <w:br w:type="page"/>
      </w:r>
    </w:p>
    <w:p w14:paraId="2FA4CB98" w14:textId="2E25D889" w:rsidR="00D74B96" w:rsidRDefault="00D74B96" w:rsidP="007872F8">
      <w:pPr>
        <w:pStyle w:val="NoSpacing"/>
        <w:jc w:val="both"/>
      </w:pPr>
      <w:r>
        <w:lastRenderedPageBreak/>
        <w:t>4. Using the data below</w:t>
      </w:r>
      <w:r w:rsidR="003A6492">
        <w:t xml:space="preserve"> and </w:t>
      </w:r>
      <w:r w:rsidR="003A6492" w:rsidRPr="007872F8">
        <w:rPr>
          <w:b/>
        </w:rPr>
        <w:t>eq 1</w:t>
      </w:r>
      <w:r>
        <w:t xml:space="preserve">, generate an </w:t>
      </w:r>
      <w:r w:rsidRPr="00D03639">
        <w:t xml:space="preserve">appropriate </w:t>
      </w:r>
      <w:r>
        <w:t>plot</w:t>
      </w:r>
      <w:r w:rsidR="00C2529E">
        <w:t xml:space="preserve"> (using available graphical analysis software)</w:t>
      </w:r>
      <w:r w:rsidR="003A6492">
        <w:t>. Analyze each plot</w:t>
      </w:r>
      <w:r>
        <w:t xml:space="preserve"> to determine the reaction order </w:t>
      </w:r>
      <w:r w:rsidR="00EF766B">
        <w:t>(</w:t>
      </w:r>
      <w:r w:rsidR="00C2529E" w:rsidRPr="00C2529E">
        <w:rPr>
          <w:i/>
        </w:rPr>
        <w:t>x</w:t>
      </w:r>
      <w:r w:rsidR="00C2529E">
        <w:t xml:space="preserve"> or </w:t>
      </w:r>
      <w:r w:rsidR="00EF766B" w:rsidRPr="00EF766B">
        <w:rPr>
          <w:i/>
        </w:rPr>
        <w:t>y</w:t>
      </w:r>
      <w:r w:rsidR="00EF766B">
        <w:t xml:space="preserve">) </w:t>
      </w:r>
      <w:r w:rsidRPr="00EF766B">
        <w:t>in</w:t>
      </w:r>
      <w:r>
        <w:t xml:space="preserve"> catalyst, CO</w:t>
      </w:r>
      <w:r>
        <w:rPr>
          <w:vertAlign w:val="subscript"/>
        </w:rPr>
        <w:t>2</w:t>
      </w:r>
      <w:r>
        <w:t>, and acid</w:t>
      </w:r>
      <w:r w:rsidR="00280017">
        <w:t xml:space="preserve"> (H</w:t>
      </w:r>
      <w:r w:rsidR="00280017">
        <w:rPr>
          <w:vertAlign w:val="subscript"/>
        </w:rPr>
        <w:t>2</w:t>
      </w:r>
      <w:r w:rsidR="00280017">
        <w:t>O)</w:t>
      </w:r>
      <w:r>
        <w:t>.</w:t>
      </w:r>
      <w:r w:rsidR="003A6492">
        <w:t xml:space="preserve"> </w:t>
      </w:r>
    </w:p>
    <w:tbl>
      <w:tblPr>
        <w:tblStyle w:val="TableGrid"/>
        <w:tblpPr w:leftFromText="180" w:rightFromText="180" w:vertAnchor="text" w:horzAnchor="margin" w:tblpXSpec="center" w:tblpY="238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</w:tblGrid>
      <w:tr w:rsidR="009613B6" w:rsidRPr="007872F8" w14:paraId="020B1C0C" w14:textId="77777777" w:rsidTr="00D3665D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602341A3" w14:textId="77777777" w:rsidR="009613B6" w:rsidRPr="007872F8" w:rsidRDefault="009613B6" w:rsidP="001F728E">
            <w:pPr>
              <w:jc w:val="center"/>
              <w:rPr>
                <w:b/>
              </w:rPr>
            </w:pPr>
            <w:r w:rsidRPr="00A74DF5">
              <w:rPr>
                <w:b/>
                <w:i/>
              </w:rPr>
              <w:t>i</w:t>
            </w:r>
            <w:r w:rsidRPr="00A74DF5">
              <w:rPr>
                <w:b/>
                <w:vertAlign w:val="subscript"/>
              </w:rPr>
              <w:t xml:space="preserve">cat 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>(</w:t>
            </w:r>
            <w:r w:rsidR="001F728E">
              <w:rPr>
                <w:rFonts w:cs="Times New Roman"/>
                <w:b/>
              </w:rPr>
              <w:t>μ</w:t>
            </w:r>
            <w:r>
              <w:rPr>
                <w:b/>
              </w:rPr>
              <w:t>A)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399E5A1" w14:textId="77777777" w:rsidR="009613B6" w:rsidRPr="007872F8" w:rsidRDefault="009613B6" w:rsidP="009613B6">
            <w:pPr>
              <w:jc w:val="center"/>
              <w:rPr>
                <w:b/>
              </w:rPr>
            </w:pPr>
            <w:r w:rsidRPr="007872F8">
              <w:rPr>
                <w:b/>
              </w:rPr>
              <w:t>[CO</w:t>
            </w:r>
            <w:r w:rsidRPr="007872F8">
              <w:rPr>
                <w:b/>
                <w:vertAlign w:val="subscript"/>
              </w:rPr>
              <w:t>2</w:t>
            </w:r>
            <w:r w:rsidRPr="007872F8">
              <w:rPr>
                <w:b/>
              </w:rPr>
              <w:t>] mol</w:t>
            </w:r>
            <w:r>
              <w:rPr>
                <w:b/>
              </w:rPr>
              <w:t xml:space="preserve"> L</w:t>
            </w:r>
            <w:r w:rsidRPr="007872F8">
              <w:rPr>
                <w:rFonts w:ascii="Arial" w:hAnsi="Arial" w:cs="Arial"/>
                <w:b/>
                <w:vertAlign w:val="superscript"/>
              </w:rPr>
              <w:t>–</w:t>
            </w:r>
            <w:r w:rsidRPr="007872F8">
              <w:rPr>
                <w:b/>
                <w:vertAlign w:val="superscript"/>
              </w:rPr>
              <w:t>1</w:t>
            </w:r>
          </w:p>
        </w:tc>
      </w:tr>
      <w:tr w:rsidR="009613B6" w:rsidRPr="003F5035" w14:paraId="1FAAE1E2" w14:textId="77777777" w:rsidTr="00D3665D">
        <w:tc>
          <w:tcPr>
            <w:tcW w:w="2098" w:type="dxa"/>
            <w:tcBorders>
              <w:top w:val="single" w:sz="4" w:space="0" w:color="auto"/>
            </w:tcBorders>
          </w:tcPr>
          <w:p w14:paraId="7F3FA191" w14:textId="77777777" w:rsidR="009613B6" w:rsidRPr="003F5035" w:rsidRDefault="009613B6" w:rsidP="009613B6">
            <w:pPr>
              <w:jc w:val="center"/>
            </w:pPr>
            <w:r w:rsidRPr="003F5035">
              <w:t>27.9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47263422" w14:textId="77777777" w:rsidR="009613B6" w:rsidRPr="00044669" w:rsidRDefault="009613B6" w:rsidP="009613B6">
            <w:pPr>
              <w:jc w:val="center"/>
            </w:pPr>
            <w:r w:rsidRPr="00044669">
              <w:t>0.01</w:t>
            </w:r>
          </w:p>
        </w:tc>
      </w:tr>
      <w:tr w:rsidR="009613B6" w:rsidRPr="003F5035" w14:paraId="44BD9244" w14:textId="77777777" w:rsidTr="00D3665D">
        <w:tc>
          <w:tcPr>
            <w:tcW w:w="2098" w:type="dxa"/>
          </w:tcPr>
          <w:p w14:paraId="79A8534B" w14:textId="77777777" w:rsidR="009613B6" w:rsidRPr="003F5035" w:rsidRDefault="009613B6" w:rsidP="009613B6">
            <w:pPr>
              <w:jc w:val="center"/>
            </w:pPr>
            <w:r w:rsidRPr="003F5035">
              <w:t>66.2</w:t>
            </w:r>
          </w:p>
        </w:tc>
        <w:tc>
          <w:tcPr>
            <w:tcW w:w="2098" w:type="dxa"/>
          </w:tcPr>
          <w:p w14:paraId="49906D4A" w14:textId="77777777" w:rsidR="009613B6" w:rsidRPr="00044669" w:rsidRDefault="009613B6" w:rsidP="009613B6">
            <w:pPr>
              <w:jc w:val="center"/>
            </w:pPr>
            <w:r w:rsidRPr="00044669">
              <w:t>0.03625</w:t>
            </w:r>
          </w:p>
        </w:tc>
      </w:tr>
      <w:tr w:rsidR="009613B6" w:rsidRPr="003F5035" w14:paraId="68F02B54" w14:textId="77777777" w:rsidTr="00D3665D">
        <w:tc>
          <w:tcPr>
            <w:tcW w:w="2098" w:type="dxa"/>
          </w:tcPr>
          <w:p w14:paraId="37A10123" w14:textId="77777777" w:rsidR="009613B6" w:rsidRPr="003F5035" w:rsidRDefault="009613B6" w:rsidP="009613B6">
            <w:pPr>
              <w:jc w:val="center"/>
            </w:pPr>
            <w:r w:rsidRPr="003F5035">
              <w:t>96.2</w:t>
            </w:r>
          </w:p>
        </w:tc>
        <w:tc>
          <w:tcPr>
            <w:tcW w:w="2098" w:type="dxa"/>
          </w:tcPr>
          <w:p w14:paraId="36B56BAA" w14:textId="77777777" w:rsidR="009613B6" w:rsidRPr="00044669" w:rsidRDefault="009613B6" w:rsidP="009613B6">
            <w:pPr>
              <w:jc w:val="center"/>
            </w:pPr>
            <w:r w:rsidRPr="00044669">
              <w:t>0.05063</w:t>
            </w:r>
          </w:p>
        </w:tc>
      </w:tr>
      <w:tr w:rsidR="009613B6" w:rsidRPr="003F5035" w14:paraId="2A965CEC" w14:textId="77777777" w:rsidTr="00D3665D">
        <w:tc>
          <w:tcPr>
            <w:tcW w:w="2098" w:type="dxa"/>
          </w:tcPr>
          <w:p w14:paraId="60BB15CC" w14:textId="77777777" w:rsidR="009613B6" w:rsidRPr="003F5035" w:rsidRDefault="009613B6" w:rsidP="009613B6">
            <w:pPr>
              <w:jc w:val="center"/>
            </w:pPr>
            <w:r w:rsidRPr="003F5035">
              <w:t>190.7</w:t>
            </w:r>
          </w:p>
        </w:tc>
        <w:tc>
          <w:tcPr>
            <w:tcW w:w="2098" w:type="dxa"/>
          </w:tcPr>
          <w:p w14:paraId="04401C9D" w14:textId="77777777" w:rsidR="009613B6" w:rsidRPr="00044669" w:rsidRDefault="009613B6" w:rsidP="009613B6">
            <w:pPr>
              <w:jc w:val="center"/>
            </w:pPr>
            <w:r w:rsidRPr="00044669">
              <w:t>0.16</w:t>
            </w:r>
          </w:p>
        </w:tc>
      </w:tr>
      <w:tr w:rsidR="009613B6" w14:paraId="27047A35" w14:textId="77777777" w:rsidTr="00D3665D">
        <w:tc>
          <w:tcPr>
            <w:tcW w:w="2098" w:type="dxa"/>
          </w:tcPr>
          <w:p w14:paraId="657791D0" w14:textId="77777777" w:rsidR="009613B6" w:rsidRDefault="009613B6" w:rsidP="009613B6">
            <w:pPr>
              <w:jc w:val="center"/>
            </w:pPr>
            <w:r w:rsidRPr="003F5035">
              <w:t>255</w:t>
            </w:r>
          </w:p>
        </w:tc>
        <w:tc>
          <w:tcPr>
            <w:tcW w:w="2098" w:type="dxa"/>
          </w:tcPr>
          <w:p w14:paraId="3721CEBA" w14:textId="77777777" w:rsidR="009613B6" w:rsidRDefault="009613B6" w:rsidP="009613B6">
            <w:pPr>
              <w:jc w:val="center"/>
            </w:pPr>
            <w:r w:rsidRPr="00044669">
              <w:t>0.2704</w:t>
            </w:r>
          </w:p>
        </w:tc>
      </w:tr>
    </w:tbl>
    <w:p w14:paraId="71D1056A" w14:textId="77777777" w:rsidR="009613B6" w:rsidRDefault="009613B6" w:rsidP="007872F8">
      <w:pPr>
        <w:pStyle w:val="NoSpacing"/>
        <w:jc w:val="both"/>
      </w:pPr>
    </w:p>
    <w:p w14:paraId="7AC99C41" w14:textId="77777777" w:rsidR="009613B6" w:rsidRDefault="009613B6" w:rsidP="007872F8">
      <w:pPr>
        <w:pStyle w:val="NoSpacing"/>
        <w:jc w:val="both"/>
      </w:pPr>
    </w:p>
    <w:p w14:paraId="237C676C" w14:textId="77777777" w:rsidR="009613B6" w:rsidRDefault="009613B6" w:rsidP="007872F8">
      <w:pPr>
        <w:pStyle w:val="NoSpacing"/>
        <w:jc w:val="both"/>
      </w:pPr>
    </w:p>
    <w:p w14:paraId="76984CCF" w14:textId="77777777" w:rsidR="009613B6" w:rsidRDefault="009613B6" w:rsidP="007872F8">
      <w:pPr>
        <w:pStyle w:val="NoSpacing"/>
        <w:jc w:val="both"/>
      </w:pPr>
    </w:p>
    <w:p w14:paraId="4BC79257" w14:textId="77777777" w:rsidR="00D74B96" w:rsidRDefault="00D74B96" w:rsidP="00D74B96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XSpec="center" w:tblpY="676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</w:tblGrid>
      <w:tr w:rsidR="009613B6" w:rsidRPr="007872F8" w14:paraId="68B2B5A3" w14:textId="77777777" w:rsidTr="009613B6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4245F83C" w14:textId="77777777" w:rsidR="009613B6" w:rsidRPr="007872F8" w:rsidRDefault="009613B6" w:rsidP="009613B6">
            <w:pPr>
              <w:jc w:val="center"/>
              <w:rPr>
                <w:b/>
              </w:rPr>
            </w:pPr>
            <w:r w:rsidRPr="00A74DF5">
              <w:rPr>
                <w:b/>
                <w:i/>
              </w:rPr>
              <w:t>i</w:t>
            </w:r>
            <w:r w:rsidRPr="00A74DF5">
              <w:rPr>
                <w:b/>
                <w:vertAlign w:val="subscript"/>
              </w:rPr>
              <w:t xml:space="preserve">cat 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>(mA)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1150ED77" w14:textId="77777777" w:rsidR="009613B6" w:rsidRPr="007872F8" w:rsidRDefault="009613B6" w:rsidP="001F728E">
            <w:pPr>
              <w:jc w:val="center"/>
              <w:rPr>
                <w:b/>
              </w:rPr>
            </w:pPr>
            <w:r w:rsidRPr="007872F8">
              <w:rPr>
                <w:b/>
              </w:rPr>
              <w:t>[</w:t>
            </w:r>
            <w:r w:rsidR="001F728E">
              <w:rPr>
                <w:b/>
              </w:rPr>
              <w:t>H</w:t>
            </w:r>
            <w:r w:rsidR="001F728E" w:rsidRPr="001F728E">
              <w:rPr>
                <w:b/>
                <w:vertAlign w:val="subscript"/>
              </w:rPr>
              <w:t>2</w:t>
            </w:r>
            <w:r w:rsidR="001F728E">
              <w:rPr>
                <w:b/>
              </w:rPr>
              <w:t>O</w:t>
            </w:r>
            <w:r w:rsidRPr="007872F8">
              <w:rPr>
                <w:b/>
              </w:rPr>
              <w:t>] mol</w:t>
            </w:r>
            <w:r>
              <w:rPr>
                <w:b/>
              </w:rPr>
              <w:t xml:space="preserve"> L</w:t>
            </w:r>
            <w:r w:rsidRPr="007872F8">
              <w:rPr>
                <w:rFonts w:ascii="Arial" w:hAnsi="Arial" w:cs="Arial"/>
                <w:b/>
                <w:vertAlign w:val="superscript"/>
              </w:rPr>
              <w:t>–</w:t>
            </w:r>
            <w:r w:rsidRPr="007872F8">
              <w:rPr>
                <w:b/>
                <w:vertAlign w:val="superscript"/>
              </w:rPr>
              <w:t>1</w:t>
            </w:r>
          </w:p>
        </w:tc>
      </w:tr>
      <w:tr w:rsidR="001F728E" w:rsidRPr="00044669" w14:paraId="217A2213" w14:textId="77777777" w:rsidTr="009613B6">
        <w:tc>
          <w:tcPr>
            <w:tcW w:w="2098" w:type="dxa"/>
            <w:tcBorders>
              <w:top w:val="single" w:sz="4" w:space="0" w:color="auto"/>
            </w:tcBorders>
          </w:tcPr>
          <w:p w14:paraId="2AEF0C07" w14:textId="77777777" w:rsidR="001F728E" w:rsidRPr="00D675B0" w:rsidRDefault="001F728E" w:rsidP="001F728E">
            <w:pPr>
              <w:jc w:val="center"/>
            </w:pPr>
            <w:r w:rsidRPr="00D675B0">
              <w:t>0.051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14:paraId="2FAD2BE8" w14:textId="77777777" w:rsidR="001F728E" w:rsidRPr="007F2596" w:rsidRDefault="001F728E" w:rsidP="001F728E">
            <w:pPr>
              <w:jc w:val="center"/>
            </w:pPr>
            <w:r w:rsidRPr="007F2596">
              <w:t>0.615</w:t>
            </w:r>
          </w:p>
        </w:tc>
      </w:tr>
      <w:tr w:rsidR="001F728E" w:rsidRPr="00044669" w14:paraId="2B408C02" w14:textId="77777777" w:rsidTr="009613B6">
        <w:tc>
          <w:tcPr>
            <w:tcW w:w="2098" w:type="dxa"/>
          </w:tcPr>
          <w:p w14:paraId="6579EE9E" w14:textId="77777777" w:rsidR="001F728E" w:rsidRPr="00D675B0" w:rsidRDefault="001F728E" w:rsidP="001F728E">
            <w:pPr>
              <w:jc w:val="center"/>
            </w:pPr>
            <w:r w:rsidRPr="00D675B0">
              <w:t>0.14</w:t>
            </w:r>
          </w:p>
        </w:tc>
        <w:tc>
          <w:tcPr>
            <w:tcW w:w="2098" w:type="dxa"/>
          </w:tcPr>
          <w:p w14:paraId="11C41AB0" w14:textId="77777777" w:rsidR="001F728E" w:rsidRPr="007F2596" w:rsidRDefault="001F728E" w:rsidP="001F728E">
            <w:pPr>
              <w:jc w:val="center"/>
            </w:pPr>
            <w:r>
              <w:t>1.048</w:t>
            </w:r>
          </w:p>
        </w:tc>
      </w:tr>
      <w:tr w:rsidR="001F728E" w:rsidRPr="00044669" w14:paraId="27443884" w14:textId="77777777" w:rsidTr="009613B6">
        <w:tc>
          <w:tcPr>
            <w:tcW w:w="2098" w:type="dxa"/>
          </w:tcPr>
          <w:p w14:paraId="6647F9CC" w14:textId="77777777" w:rsidR="001F728E" w:rsidRPr="00D675B0" w:rsidRDefault="001F728E" w:rsidP="001F728E">
            <w:pPr>
              <w:jc w:val="center"/>
            </w:pPr>
            <w:r w:rsidRPr="00D675B0">
              <w:t>0.17</w:t>
            </w:r>
          </w:p>
        </w:tc>
        <w:tc>
          <w:tcPr>
            <w:tcW w:w="2098" w:type="dxa"/>
          </w:tcPr>
          <w:p w14:paraId="7246F57A" w14:textId="77777777" w:rsidR="001F728E" w:rsidRPr="007F2596" w:rsidRDefault="001F728E" w:rsidP="001F728E">
            <w:pPr>
              <w:jc w:val="center"/>
            </w:pPr>
            <w:r>
              <w:t>1.183</w:t>
            </w:r>
          </w:p>
        </w:tc>
      </w:tr>
      <w:tr w:rsidR="001F728E" w:rsidRPr="00044669" w14:paraId="68BA3D56" w14:textId="77777777" w:rsidTr="009613B6">
        <w:tc>
          <w:tcPr>
            <w:tcW w:w="2098" w:type="dxa"/>
          </w:tcPr>
          <w:p w14:paraId="7F38E8B4" w14:textId="77777777" w:rsidR="001F728E" w:rsidRPr="00D675B0" w:rsidRDefault="001F728E" w:rsidP="001F728E">
            <w:pPr>
              <w:jc w:val="center"/>
            </w:pPr>
            <w:r>
              <w:t>0.22</w:t>
            </w:r>
          </w:p>
        </w:tc>
        <w:tc>
          <w:tcPr>
            <w:tcW w:w="2098" w:type="dxa"/>
          </w:tcPr>
          <w:p w14:paraId="45444FE7" w14:textId="77777777" w:rsidR="001F728E" w:rsidRPr="007F2596" w:rsidRDefault="001F728E" w:rsidP="001F728E">
            <w:pPr>
              <w:jc w:val="center"/>
            </w:pPr>
            <w:r>
              <w:t>1.378</w:t>
            </w:r>
          </w:p>
        </w:tc>
      </w:tr>
      <w:tr w:rsidR="001F728E" w14:paraId="5B0B53AD" w14:textId="77777777" w:rsidTr="009613B6">
        <w:tc>
          <w:tcPr>
            <w:tcW w:w="2098" w:type="dxa"/>
          </w:tcPr>
          <w:p w14:paraId="4BD00613" w14:textId="77777777" w:rsidR="001F728E" w:rsidRPr="00D675B0" w:rsidRDefault="001F728E" w:rsidP="001F728E">
            <w:pPr>
              <w:jc w:val="center"/>
            </w:pPr>
            <w:r w:rsidRPr="00D675B0">
              <w:t>0.29</w:t>
            </w:r>
          </w:p>
        </w:tc>
        <w:tc>
          <w:tcPr>
            <w:tcW w:w="2098" w:type="dxa"/>
          </w:tcPr>
          <w:p w14:paraId="0685EE15" w14:textId="77777777" w:rsidR="001F728E" w:rsidRPr="007F2596" w:rsidRDefault="001F728E" w:rsidP="001F728E">
            <w:pPr>
              <w:jc w:val="center"/>
            </w:pPr>
            <w:r>
              <w:t>1.612</w:t>
            </w:r>
          </w:p>
        </w:tc>
      </w:tr>
      <w:tr w:rsidR="001F728E" w14:paraId="33A2FB7F" w14:textId="77777777" w:rsidTr="009613B6">
        <w:tc>
          <w:tcPr>
            <w:tcW w:w="2098" w:type="dxa"/>
          </w:tcPr>
          <w:p w14:paraId="5C95E897" w14:textId="77777777" w:rsidR="001F728E" w:rsidRPr="00D675B0" w:rsidRDefault="001F728E" w:rsidP="001F728E">
            <w:pPr>
              <w:jc w:val="center"/>
            </w:pPr>
            <w:r w:rsidRPr="00D675B0">
              <w:t>0.34</w:t>
            </w:r>
          </w:p>
        </w:tc>
        <w:tc>
          <w:tcPr>
            <w:tcW w:w="2098" w:type="dxa"/>
          </w:tcPr>
          <w:p w14:paraId="7E08D366" w14:textId="77777777" w:rsidR="001F728E" w:rsidRPr="007F2596" w:rsidRDefault="001F728E" w:rsidP="001F728E">
            <w:pPr>
              <w:jc w:val="center"/>
            </w:pPr>
            <w:r>
              <w:t>1.870</w:t>
            </w:r>
          </w:p>
        </w:tc>
      </w:tr>
      <w:tr w:rsidR="001F728E" w14:paraId="1F72E532" w14:textId="77777777" w:rsidTr="009613B6">
        <w:tc>
          <w:tcPr>
            <w:tcW w:w="2098" w:type="dxa"/>
          </w:tcPr>
          <w:p w14:paraId="0E971254" w14:textId="77777777" w:rsidR="001F728E" w:rsidRPr="00D675B0" w:rsidRDefault="001F728E" w:rsidP="001F728E">
            <w:pPr>
              <w:jc w:val="center"/>
            </w:pPr>
            <w:r w:rsidRPr="00D675B0">
              <w:t>0.38</w:t>
            </w:r>
          </w:p>
        </w:tc>
        <w:tc>
          <w:tcPr>
            <w:tcW w:w="2098" w:type="dxa"/>
          </w:tcPr>
          <w:p w14:paraId="54A6D62A" w14:textId="77777777" w:rsidR="001F728E" w:rsidRPr="007F2596" w:rsidRDefault="001F728E" w:rsidP="001F728E">
            <w:pPr>
              <w:jc w:val="center"/>
            </w:pPr>
            <w:r>
              <w:t>2.049</w:t>
            </w:r>
          </w:p>
        </w:tc>
      </w:tr>
      <w:tr w:rsidR="001F728E" w14:paraId="6ACAF8C3" w14:textId="77777777" w:rsidTr="009613B6">
        <w:tc>
          <w:tcPr>
            <w:tcW w:w="2098" w:type="dxa"/>
          </w:tcPr>
          <w:p w14:paraId="15CF8423" w14:textId="77777777" w:rsidR="001F728E" w:rsidRPr="00D675B0" w:rsidRDefault="001F728E" w:rsidP="001F728E">
            <w:pPr>
              <w:jc w:val="center"/>
            </w:pPr>
            <w:r w:rsidRPr="00D675B0">
              <w:t>0.41</w:t>
            </w:r>
          </w:p>
        </w:tc>
        <w:tc>
          <w:tcPr>
            <w:tcW w:w="2098" w:type="dxa"/>
          </w:tcPr>
          <w:p w14:paraId="550CE571" w14:textId="77777777" w:rsidR="001F728E" w:rsidRPr="007F2596" w:rsidRDefault="001F728E" w:rsidP="001F728E">
            <w:pPr>
              <w:jc w:val="center"/>
            </w:pPr>
            <w:r>
              <w:t>2.258</w:t>
            </w:r>
          </w:p>
        </w:tc>
      </w:tr>
      <w:tr w:rsidR="001F728E" w14:paraId="74D469E1" w14:textId="77777777" w:rsidTr="009613B6">
        <w:tc>
          <w:tcPr>
            <w:tcW w:w="2098" w:type="dxa"/>
          </w:tcPr>
          <w:p w14:paraId="07B65372" w14:textId="77777777" w:rsidR="001F728E" w:rsidRDefault="001F728E" w:rsidP="001F728E">
            <w:pPr>
              <w:jc w:val="center"/>
            </w:pPr>
            <w:r w:rsidRPr="00D675B0">
              <w:t>0.43</w:t>
            </w:r>
          </w:p>
        </w:tc>
        <w:tc>
          <w:tcPr>
            <w:tcW w:w="2098" w:type="dxa"/>
          </w:tcPr>
          <w:p w14:paraId="78ABE09A" w14:textId="77777777" w:rsidR="001F728E" w:rsidRDefault="001F728E" w:rsidP="001F728E">
            <w:pPr>
              <w:jc w:val="center"/>
            </w:pPr>
            <w:r>
              <w:t>2.387</w:t>
            </w:r>
          </w:p>
        </w:tc>
      </w:tr>
    </w:tbl>
    <w:p w14:paraId="13EED959" w14:textId="77777777" w:rsidR="009613B6" w:rsidRDefault="009613B6" w:rsidP="00D74B96">
      <w:pPr>
        <w:rPr>
          <w:rFonts w:eastAsiaTheme="minorEastAsia"/>
        </w:rPr>
      </w:pPr>
    </w:p>
    <w:p w14:paraId="4D14E181" w14:textId="77777777" w:rsidR="009613B6" w:rsidRDefault="009613B6" w:rsidP="00D74B96">
      <w:pPr>
        <w:rPr>
          <w:rFonts w:eastAsiaTheme="minorEastAsia"/>
        </w:rPr>
      </w:pPr>
    </w:p>
    <w:p w14:paraId="351BF837" w14:textId="77777777" w:rsidR="009613B6" w:rsidRDefault="009613B6" w:rsidP="00D74B96">
      <w:pPr>
        <w:rPr>
          <w:rFonts w:eastAsiaTheme="minorEastAsia"/>
        </w:rPr>
      </w:pPr>
    </w:p>
    <w:p w14:paraId="0D0E3478" w14:textId="77777777" w:rsidR="00D74B96" w:rsidRDefault="00D74B96" w:rsidP="00D74B96">
      <w:pPr>
        <w:rPr>
          <w:rFonts w:eastAsiaTheme="minorEastAsia"/>
        </w:rPr>
      </w:pPr>
    </w:p>
    <w:p w14:paraId="74FF94F1" w14:textId="77777777" w:rsidR="007872F8" w:rsidRDefault="007872F8" w:rsidP="00D74B96">
      <w:pPr>
        <w:rPr>
          <w:rFonts w:eastAsiaTheme="minorEastAsia"/>
        </w:rPr>
      </w:pPr>
    </w:p>
    <w:p w14:paraId="0C01C7FB" w14:textId="77777777" w:rsidR="009613B6" w:rsidRDefault="009613B6" w:rsidP="007872F8">
      <w:pPr>
        <w:jc w:val="center"/>
        <w:rPr>
          <w:rFonts w:eastAsiaTheme="minorEastAsia"/>
          <w:b/>
          <w:color w:val="FF0000"/>
        </w:rPr>
      </w:pPr>
    </w:p>
    <w:p w14:paraId="7B7D2D87" w14:textId="77777777" w:rsidR="001E06DF" w:rsidRDefault="001E06DF">
      <w:pPr>
        <w:rPr>
          <w:rFonts w:eastAsiaTheme="minorEastAsia"/>
          <w:b/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242"/>
        <w:tblOverlap w:val="never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8"/>
        <w:gridCol w:w="2098"/>
      </w:tblGrid>
      <w:tr w:rsidR="001E06DF" w:rsidRPr="007872F8" w14:paraId="524983B7" w14:textId="77777777" w:rsidTr="001E06DF"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0C48A03D" w14:textId="77777777" w:rsidR="001E06DF" w:rsidRPr="007872F8" w:rsidRDefault="001E06DF" w:rsidP="001E06DF">
            <w:pPr>
              <w:jc w:val="center"/>
              <w:rPr>
                <w:b/>
              </w:rPr>
            </w:pPr>
            <w:r>
              <w:rPr>
                <w:b/>
                <w:i/>
              </w:rPr>
              <w:t>J</w:t>
            </w:r>
            <w:r w:rsidRPr="00A74DF5">
              <w:rPr>
                <w:b/>
                <w:vertAlign w:val="subscript"/>
              </w:rPr>
              <w:t xml:space="preserve">cat </w:t>
            </w:r>
            <w:r>
              <w:rPr>
                <w:b/>
                <w:vertAlign w:val="subscript"/>
              </w:rPr>
              <w:t xml:space="preserve"> </w:t>
            </w:r>
            <w:r>
              <w:rPr>
                <w:b/>
              </w:rPr>
              <w:t>(mA cm</w:t>
            </w:r>
            <w:r w:rsidRPr="001E06DF">
              <w:rPr>
                <w:rFonts w:ascii="Arial" w:hAnsi="Arial" w:cs="Arial"/>
                <w:b/>
                <w:vertAlign w:val="superscript"/>
              </w:rPr>
              <w:t>–</w:t>
            </w:r>
            <w:r w:rsidRPr="001E06DF">
              <w:rPr>
                <w:b/>
                <w:vertAlign w:val="superscript"/>
              </w:rPr>
              <w:t>2</w:t>
            </w:r>
            <w:r>
              <w:rPr>
                <w:b/>
              </w:rPr>
              <w:t>)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14:paraId="5937F1F1" w14:textId="77777777" w:rsidR="001E06DF" w:rsidRPr="007872F8" w:rsidRDefault="001E06DF" w:rsidP="001E06DF">
            <w:pPr>
              <w:jc w:val="center"/>
              <w:rPr>
                <w:b/>
              </w:rPr>
            </w:pPr>
            <w:r w:rsidRPr="007872F8">
              <w:rPr>
                <w:b/>
              </w:rPr>
              <w:t>[</w:t>
            </w:r>
            <w:r>
              <w:rPr>
                <w:b/>
              </w:rPr>
              <w:t>cat</w:t>
            </w:r>
            <w:r w:rsidRPr="007872F8">
              <w:rPr>
                <w:b/>
              </w:rPr>
              <w:t>] mol</w:t>
            </w:r>
            <w:r>
              <w:rPr>
                <w:b/>
              </w:rPr>
              <w:t xml:space="preserve"> L</w:t>
            </w:r>
            <w:r w:rsidRPr="007872F8">
              <w:rPr>
                <w:rFonts w:ascii="Arial" w:hAnsi="Arial" w:cs="Arial"/>
                <w:b/>
                <w:vertAlign w:val="superscript"/>
              </w:rPr>
              <w:t>–</w:t>
            </w:r>
            <w:r w:rsidRPr="007872F8">
              <w:rPr>
                <w:b/>
                <w:vertAlign w:val="superscript"/>
              </w:rPr>
              <w:t>1</w:t>
            </w:r>
          </w:p>
        </w:tc>
      </w:tr>
      <w:tr w:rsidR="00824365" w:rsidRPr="007F2596" w14:paraId="11C81FBB" w14:textId="77777777" w:rsidTr="00D3665D">
        <w:tc>
          <w:tcPr>
            <w:tcW w:w="2098" w:type="dxa"/>
            <w:tcBorders>
              <w:top w:val="single" w:sz="4" w:space="0" w:color="auto"/>
            </w:tcBorders>
          </w:tcPr>
          <w:p w14:paraId="694EE329" w14:textId="77777777" w:rsidR="00824365" w:rsidRPr="00931DAA" w:rsidRDefault="00824365" w:rsidP="00824365">
            <w:pPr>
              <w:jc w:val="center"/>
            </w:pPr>
            <w:r w:rsidRPr="00931DAA">
              <w:t>0.98</w:t>
            </w:r>
          </w:p>
        </w:tc>
        <w:tc>
          <w:tcPr>
            <w:tcW w:w="2098" w:type="dxa"/>
            <w:tcBorders>
              <w:top w:val="single" w:sz="4" w:space="0" w:color="auto"/>
            </w:tcBorders>
            <w:vAlign w:val="bottom"/>
          </w:tcPr>
          <w:p w14:paraId="126D9A60" w14:textId="77777777" w:rsidR="00824365" w:rsidRPr="00824365" w:rsidRDefault="00824365" w:rsidP="008243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4365">
              <w:rPr>
                <w:rFonts w:cs="Times New Roman"/>
                <w:color w:val="000000"/>
                <w:szCs w:val="24"/>
              </w:rPr>
              <w:t>0.22</w:t>
            </w:r>
          </w:p>
        </w:tc>
      </w:tr>
      <w:tr w:rsidR="00824365" w:rsidRPr="007F2596" w14:paraId="14CB74A0" w14:textId="77777777" w:rsidTr="00D3665D">
        <w:tc>
          <w:tcPr>
            <w:tcW w:w="2098" w:type="dxa"/>
          </w:tcPr>
          <w:p w14:paraId="45760E04" w14:textId="77777777" w:rsidR="00824365" w:rsidRPr="00931DAA" w:rsidRDefault="00824365" w:rsidP="00824365">
            <w:pPr>
              <w:jc w:val="center"/>
            </w:pPr>
            <w:r w:rsidRPr="00931DAA">
              <w:t>1.5</w:t>
            </w:r>
          </w:p>
        </w:tc>
        <w:tc>
          <w:tcPr>
            <w:tcW w:w="2098" w:type="dxa"/>
            <w:vAlign w:val="bottom"/>
          </w:tcPr>
          <w:p w14:paraId="5D049B6C" w14:textId="77777777" w:rsidR="00824365" w:rsidRPr="00824365" w:rsidRDefault="00824365" w:rsidP="008243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4365">
              <w:rPr>
                <w:rFonts w:cs="Times New Roman"/>
                <w:color w:val="000000"/>
                <w:szCs w:val="24"/>
              </w:rPr>
              <w:t>0.42</w:t>
            </w:r>
          </w:p>
        </w:tc>
      </w:tr>
      <w:tr w:rsidR="00824365" w:rsidRPr="007F2596" w14:paraId="7F312939" w14:textId="77777777" w:rsidTr="00D3665D">
        <w:tc>
          <w:tcPr>
            <w:tcW w:w="2098" w:type="dxa"/>
          </w:tcPr>
          <w:p w14:paraId="5C45D14D" w14:textId="77777777" w:rsidR="00824365" w:rsidRPr="00931DAA" w:rsidRDefault="00824365" w:rsidP="00824365">
            <w:pPr>
              <w:jc w:val="center"/>
            </w:pPr>
            <w:r w:rsidRPr="00931DAA">
              <w:t>2.2</w:t>
            </w:r>
          </w:p>
        </w:tc>
        <w:tc>
          <w:tcPr>
            <w:tcW w:w="2098" w:type="dxa"/>
            <w:vAlign w:val="bottom"/>
          </w:tcPr>
          <w:p w14:paraId="7D7B5322" w14:textId="77777777" w:rsidR="00824365" w:rsidRPr="00824365" w:rsidRDefault="00824365" w:rsidP="008243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4365">
              <w:rPr>
                <w:rFonts w:cs="Times New Roman"/>
                <w:color w:val="000000"/>
                <w:szCs w:val="24"/>
              </w:rPr>
              <w:t>0.61</w:t>
            </w:r>
          </w:p>
        </w:tc>
      </w:tr>
      <w:tr w:rsidR="00824365" w:rsidRPr="007F2596" w14:paraId="6D4856B5" w14:textId="77777777" w:rsidTr="00D3665D">
        <w:tc>
          <w:tcPr>
            <w:tcW w:w="2098" w:type="dxa"/>
          </w:tcPr>
          <w:p w14:paraId="1C0762E0" w14:textId="77777777" w:rsidR="00824365" w:rsidRPr="00931DAA" w:rsidRDefault="00824365" w:rsidP="00824365">
            <w:pPr>
              <w:jc w:val="center"/>
            </w:pPr>
            <w:r w:rsidRPr="00931DAA">
              <w:t>2.7</w:t>
            </w:r>
          </w:p>
        </w:tc>
        <w:tc>
          <w:tcPr>
            <w:tcW w:w="2098" w:type="dxa"/>
            <w:vAlign w:val="bottom"/>
          </w:tcPr>
          <w:p w14:paraId="6268E5E4" w14:textId="77777777" w:rsidR="00824365" w:rsidRPr="00824365" w:rsidRDefault="00824365" w:rsidP="008243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4365">
              <w:rPr>
                <w:rFonts w:cs="Times New Roman"/>
                <w:color w:val="000000"/>
                <w:szCs w:val="24"/>
              </w:rPr>
              <w:t>0.88</w:t>
            </w:r>
          </w:p>
        </w:tc>
      </w:tr>
      <w:tr w:rsidR="00824365" w:rsidRPr="007F2596" w14:paraId="50EDE93B" w14:textId="77777777" w:rsidTr="00D3665D">
        <w:tc>
          <w:tcPr>
            <w:tcW w:w="2098" w:type="dxa"/>
          </w:tcPr>
          <w:p w14:paraId="0B3359C4" w14:textId="77777777" w:rsidR="00824365" w:rsidRPr="00931DAA" w:rsidRDefault="00824365" w:rsidP="00824365">
            <w:pPr>
              <w:jc w:val="center"/>
            </w:pPr>
            <w:r w:rsidRPr="00931DAA">
              <w:t>3.6</w:t>
            </w:r>
          </w:p>
        </w:tc>
        <w:tc>
          <w:tcPr>
            <w:tcW w:w="2098" w:type="dxa"/>
            <w:vAlign w:val="bottom"/>
          </w:tcPr>
          <w:p w14:paraId="4C0758FE" w14:textId="77777777" w:rsidR="00824365" w:rsidRPr="00824365" w:rsidRDefault="00824365" w:rsidP="008243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4365">
              <w:rPr>
                <w:rFonts w:cs="Times New Roman"/>
                <w:color w:val="000000"/>
                <w:szCs w:val="24"/>
              </w:rPr>
              <w:t>1.2</w:t>
            </w:r>
          </w:p>
        </w:tc>
      </w:tr>
      <w:tr w:rsidR="00824365" w:rsidRPr="007F2596" w14:paraId="36B2116E" w14:textId="77777777" w:rsidTr="00D3665D">
        <w:tc>
          <w:tcPr>
            <w:tcW w:w="2098" w:type="dxa"/>
          </w:tcPr>
          <w:p w14:paraId="521957EC" w14:textId="77777777" w:rsidR="00824365" w:rsidRDefault="00824365" w:rsidP="00824365">
            <w:pPr>
              <w:jc w:val="center"/>
            </w:pPr>
            <w:r w:rsidRPr="00931DAA">
              <w:t>5.2</w:t>
            </w:r>
          </w:p>
        </w:tc>
        <w:tc>
          <w:tcPr>
            <w:tcW w:w="2098" w:type="dxa"/>
            <w:vAlign w:val="bottom"/>
          </w:tcPr>
          <w:p w14:paraId="314ECA42" w14:textId="77777777" w:rsidR="00824365" w:rsidRPr="00824365" w:rsidRDefault="00824365" w:rsidP="00824365">
            <w:pPr>
              <w:jc w:val="center"/>
              <w:rPr>
                <w:rFonts w:cs="Times New Roman"/>
                <w:color w:val="000000"/>
                <w:szCs w:val="24"/>
              </w:rPr>
            </w:pPr>
            <w:r w:rsidRPr="00824365">
              <w:rPr>
                <w:rFonts w:cs="Times New Roman"/>
                <w:color w:val="000000"/>
                <w:szCs w:val="24"/>
              </w:rPr>
              <w:t>1.8</w:t>
            </w:r>
          </w:p>
        </w:tc>
      </w:tr>
    </w:tbl>
    <w:p w14:paraId="68537F6D" w14:textId="77777777" w:rsidR="001E06DF" w:rsidRDefault="001E06DF">
      <w:pPr>
        <w:rPr>
          <w:rFonts w:eastAsiaTheme="minorEastAsia"/>
          <w:b/>
          <w:color w:val="FF0000"/>
        </w:rPr>
      </w:pPr>
    </w:p>
    <w:p w14:paraId="664C69F6" w14:textId="77777777" w:rsidR="001E06DF" w:rsidRDefault="001E06DF">
      <w:pPr>
        <w:rPr>
          <w:rFonts w:eastAsiaTheme="minorEastAsia"/>
          <w:b/>
          <w:color w:val="FF0000"/>
        </w:rPr>
      </w:pPr>
    </w:p>
    <w:p w14:paraId="1C89FBC1" w14:textId="77777777" w:rsidR="00213858" w:rsidRDefault="00213858">
      <w:pPr>
        <w:rPr>
          <w:rFonts w:eastAsiaTheme="minorEastAsia"/>
          <w:b/>
          <w:color w:val="FF0000"/>
        </w:rPr>
      </w:pPr>
    </w:p>
    <w:p w14:paraId="748BD87A" w14:textId="77777777" w:rsidR="00213858" w:rsidRDefault="00213858">
      <w:pPr>
        <w:rPr>
          <w:rFonts w:eastAsiaTheme="minorEastAsia"/>
          <w:b/>
          <w:color w:val="FF0000"/>
        </w:rPr>
      </w:pPr>
    </w:p>
    <w:p w14:paraId="6B608E25" w14:textId="77777777" w:rsidR="007B5348" w:rsidRDefault="007B5348">
      <w:pPr>
        <w:rPr>
          <w:rFonts w:eastAsiaTheme="minorEastAsia"/>
          <w:b/>
          <w:color w:val="FF0000"/>
        </w:rPr>
      </w:pPr>
    </w:p>
    <w:p w14:paraId="36164325" w14:textId="77777777" w:rsidR="007B5348" w:rsidRDefault="007B5348">
      <w:pPr>
        <w:rPr>
          <w:rFonts w:eastAsiaTheme="minorEastAsia"/>
          <w:color w:val="FF0000"/>
          <w:sz w:val="22"/>
        </w:rPr>
      </w:pPr>
      <w:r>
        <w:rPr>
          <w:rFonts w:eastAsiaTheme="minorEastAsia"/>
          <w:color w:val="FF0000"/>
          <w:sz w:val="22"/>
        </w:rPr>
        <w:br w:type="page"/>
      </w:r>
    </w:p>
    <w:p w14:paraId="013ED803" w14:textId="11F98C0C" w:rsidR="000C620C" w:rsidRDefault="00624968" w:rsidP="00624968">
      <w:r w:rsidRPr="00213858">
        <w:rPr>
          <w:rFonts w:eastAsiaTheme="minorEastAsia"/>
          <w:color w:val="000000" w:themeColor="text1"/>
        </w:rPr>
        <w:lastRenderedPageBreak/>
        <w:t>5.</w:t>
      </w:r>
      <w:r>
        <w:rPr>
          <w:rFonts w:eastAsiaTheme="minorEastAsia"/>
          <w:b/>
          <w:color w:val="FF0000"/>
        </w:rPr>
        <w:t xml:space="preserve"> </w:t>
      </w:r>
      <w:r>
        <w:t>Describe what is meant by saturation kinetics.</w:t>
      </w:r>
    </w:p>
    <w:p w14:paraId="7CF0C23A" w14:textId="77777777" w:rsidR="00C2529E" w:rsidRDefault="00C2529E" w:rsidP="00624968"/>
    <w:p w14:paraId="5A4A0520" w14:textId="77777777" w:rsidR="00D14F97" w:rsidRDefault="001E06DF" w:rsidP="00D14F97">
      <w:r>
        <w:rPr>
          <w:rFonts w:eastAsiaTheme="minorEastAsia"/>
        </w:rPr>
        <w:t>6</w:t>
      </w:r>
      <w:r w:rsidR="003A6492">
        <w:rPr>
          <w:rFonts w:eastAsiaTheme="minorEastAsia"/>
        </w:rPr>
        <w:t xml:space="preserve">. </w:t>
      </w:r>
      <w:r w:rsidR="003A6492">
        <w:t>Re-write the integrated-rate law (</w:t>
      </w:r>
      <w:r w:rsidR="003A6492" w:rsidRPr="003A6492">
        <w:rPr>
          <w:b/>
        </w:rPr>
        <w:t>eq 1</w:t>
      </w:r>
      <w:r w:rsidR="003A6492">
        <w:t xml:space="preserve">) with the order of </w:t>
      </w:r>
      <w:r w:rsidR="003A6492" w:rsidRPr="00C2529E">
        <w:rPr>
          <w:b/>
          <w:color w:val="000000" w:themeColor="text1"/>
        </w:rPr>
        <w:t>catalyst</w:t>
      </w:r>
      <w:r w:rsidR="003A6492" w:rsidRPr="00C2529E">
        <w:rPr>
          <w:color w:val="000000" w:themeColor="text1"/>
        </w:rPr>
        <w:t xml:space="preserve">, </w:t>
      </w:r>
      <w:r w:rsidR="003A6492" w:rsidRPr="00C2529E">
        <w:rPr>
          <w:b/>
          <w:color w:val="000000" w:themeColor="text1"/>
        </w:rPr>
        <w:t>CO</w:t>
      </w:r>
      <w:r w:rsidR="003A6492" w:rsidRPr="00C2529E">
        <w:rPr>
          <w:b/>
          <w:color w:val="000000" w:themeColor="text1"/>
          <w:vertAlign w:val="subscript"/>
        </w:rPr>
        <w:t>2</w:t>
      </w:r>
      <w:r w:rsidR="003A6492" w:rsidRPr="00C2529E">
        <w:rPr>
          <w:color w:val="000000" w:themeColor="text1"/>
        </w:rPr>
        <w:t xml:space="preserve">, and </w:t>
      </w:r>
      <w:r w:rsidR="003A6492" w:rsidRPr="00C2529E">
        <w:rPr>
          <w:b/>
          <w:color w:val="000000" w:themeColor="text1"/>
        </w:rPr>
        <w:t>acid</w:t>
      </w:r>
      <w:r w:rsidR="007872F8">
        <w:t>.</w:t>
      </w:r>
    </w:p>
    <w:p w14:paraId="3B582FB2" w14:textId="77777777" w:rsidR="00C2529E" w:rsidRDefault="00C2529E" w:rsidP="00D14F97"/>
    <w:p w14:paraId="57C3BDE4" w14:textId="15FD3FEF" w:rsidR="00C36DA0" w:rsidRPr="00C2529E" w:rsidRDefault="001E06DF" w:rsidP="00814DD7">
      <w:r>
        <w:t>7</w:t>
      </w:r>
      <w:r w:rsidR="00C36DA0">
        <w:t>. Given the following conditions, calculate the rate constant (</w:t>
      </w:r>
      <w:r w:rsidR="00C36DA0">
        <w:rPr>
          <w:i/>
        </w:rPr>
        <w:t>k</w:t>
      </w:r>
      <w:r w:rsidR="00C36DA0">
        <w:rPr>
          <w:vertAlign w:val="subscript"/>
        </w:rPr>
        <w:t>cat</w:t>
      </w:r>
      <w:r w:rsidR="00C36DA0" w:rsidRPr="00C36DA0">
        <w:t>)</w:t>
      </w:r>
      <w:r w:rsidR="00C36DA0">
        <w:t>.</w:t>
      </w:r>
      <w:r w:rsidR="00C2529E">
        <w:t xml:space="preserve"> Be sure to give value with the </w:t>
      </w:r>
      <w:r w:rsidR="00C2529E">
        <w:rPr>
          <w:i/>
        </w:rPr>
        <w:t>appropriate</w:t>
      </w:r>
      <w:r w:rsidR="00C2529E">
        <w:t xml:space="preserve"> units.  </w:t>
      </w:r>
      <w:bookmarkStart w:id="0" w:name="_GoBack"/>
      <w:bookmarkEnd w:id="0"/>
    </w:p>
    <w:p w14:paraId="0B58B085" w14:textId="77777777" w:rsidR="00C36DA0" w:rsidRDefault="00C36DA0" w:rsidP="00C67C22">
      <w:pPr>
        <w:pStyle w:val="NoSpacing"/>
      </w:pPr>
      <w:r>
        <w:tab/>
      </w:r>
      <w:r>
        <w:tab/>
      </w:r>
      <w:r>
        <w:rPr>
          <w:i/>
        </w:rPr>
        <w:t>n</w:t>
      </w:r>
      <w:r>
        <w:rPr>
          <w:vertAlign w:val="subscript"/>
        </w:rPr>
        <w:t>cat</w:t>
      </w:r>
      <w:r>
        <w:t xml:space="preserve"> = 2</w:t>
      </w:r>
    </w:p>
    <w:p w14:paraId="647885E0" w14:textId="77777777" w:rsidR="00C36DA0" w:rsidRDefault="00C36DA0" w:rsidP="00C67C22">
      <w:pPr>
        <w:pStyle w:val="NoSpacing"/>
      </w:pPr>
      <w:r>
        <w:tab/>
      </w:r>
      <w:r>
        <w:tab/>
      </w:r>
      <w:r>
        <w:rPr>
          <w:i/>
        </w:rPr>
        <w:t>F</w:t>
      </w:r>
      <w:r>
        <w:t xml:space="preserve"> = 96845 C mol</w:t>
      </w:r>
      <w:r w:rsidR="004443CF" w:rsidRPr="00C36DA0">
        <w:rPr>
          <w:rFonts w:ascii="Arial" w:hAnsi="Arial" w:cs="Arial"/>
          <w:vertAlign w:val="superscript"/>
        </w:rPr>
        <w:t>–</w:t>
      </w:r>
      <w:r w:rsidR="004443CF">
        <w:rPr>
          <w:vertAlign w:val="superscript"/>
        </w:rPr>
        <w:t>1</w:t>
      </w:r>
    </w:p>
    <w:p w14:paraId="7EB4DEFA" w14:textId="77777777" w:rsidR="00C36DA0" w:rsidRDefault="00C36DA0" w:rsidP="00C67C22">
      <w:pPr>
        <w:pStyle w:val="NoSpacing"/>
      </w:pPr>
      <w:r>
        <w:tab/>
      </w:r>
      <w:r>
        <w:tab/>
      </w:r>
      <w:r>
        <w:rPr>
          <w:i/>
        </w:rPr>
        <w:t>A</w:t>
      </w:r>
      <w:r>
        <w:t xml:space="preserve"> = 7.4 cm</w:t>
      </w:r>
      <w:r>
        <w:rPr>
          <w:vertAlign w:val="superscript"/>
        </w:rPr>
        <w:t>2</w:t>
      </w:r>
    </w:p>
    <w:p w14:paraId="7BDB1FA4" w14:textId="77777777" w:rsidR="00C36DA0" w:rsidRDefault="00C36DA0" w:rsidP="00C67C22">
      <w:pPr>
        <w:pStyle w:val="NoSpacing"/>
      </w:pPr>
      <w:r>
        <w:tab/>
      </w:r>
      <w:r>
        <w:tab/>
        <w:t xml:space="preserve">[cat] = 5 </w:t>
      </w:r>
      <w:r>
        <w:rPr>
          <w:rFonts w:cs="Times New Roman"/>
        </w:rPr>
        <w:t>×</w:t>
      </w:r>
      <w:r>
        <w:t xml:space="preserve"> 10</w:t>
      </w:r>
      <w:r w:rsidRPr="00C36DA0">
        <w:rPr>
          <w:rFonts w:ascii="Arial" w:hAnsi="Arial" w:cs="Arial"/>
          <w:vertAlign w:val="superscript"/>
        </w:rPr>
        <w:t>–</w:t>
      </w:r>
      <w:r w:rsidRPr="00C36DA0">
        <w:rPr>
          <w:vertAlign w:val="superscript"/>
        </w:rPr>
        <w:t>7</w:t>
      </w:r>
      <w:r>
        <w:t xml:space="preserve"> mol</w:t>
      </w:r>
      <w:r w:rsidR="00F8358C">
        <w:t xml:space="preserve"> </w:t>
      </w:r>
      <w:r w:rsidR="004443CF">
        <w:t>L</w:t>
      </w:r>
      <w:r w:rsidR="00F8358C" w:rsidRPr="00C36DA0">
        <w:rPr>
          <w:rFonts w:ascii="Arial" w:hAnsi="Arial" w:cs="Arial"/>
          <w:vertAlign w:val="superscript"/>
        </w:rPr>
        <w:t>–</w:t>
      </w:r>
      <w:r w:rsidR="00F8358C">
        <w:rPr>
          <w:vertAlign w:val="superscript"/>
        </w:rPr>
        <w:t>1</w:t>
      </w:r>
    </w:p>
    <w:p w14:paraId="2059DC7A" w14:textId="77777777" w:rsidR="00F8358C" w:rsidRDefault="00F8358C" w:rsidP="00C67C22">
      <w:pPr>
        <w:pStyle w:val="NoSpacing"/>
        <w:rPr>
          <w:vertAlign w:val="superscript"/>
        </w:rPr>
      </w:pPr>
      <w:r>
        <w:tab/>
      </w:r>
      <w:r>
        <w:tab/>
        <w:t>[CO</w:t>
      </w:r>
      <w:r>
        <w:rPr>
          <w:vertAlign w:val="subscript"/>
        </w:rPr>
        <w:t>2</w:t>
      </w:r>
      <w:r>
        <w:t>] = 0.27 mol L</w:t>
      </w:r>
      <w:r w:rsidRPr="00C36DA0">
        <w:rPr>
          <w:rFonts w:ascii="Arial" w:hAnsi="Arial" w:cs="Arial"/>
          <w:vertAlign w:val="superscript"/>
        </w:rPr>
        <w:t>–</w:t>
      </w:r>
      <w:r>
        <w:rPr>
          <w:vertAlign w:val="superscript"/>
        </w:rPr>
        <w:t>1</w:t>
      </w:r>
    </w:p>
    <w:p w14:paraId="326BFE93" w14:textId="77777777" w:rsidR="00D74B96" w:rsidRPr="00D74B96" w:rsidRDefault="00D74B96" w:rsidP="00C67C22">
      <w:pPr>
        <w:pStyle w:val="NoSpacing"/>
        <w:rPr>
          <w:i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t>[H</w:t>
      </w:r>
      <w:r>
        <w:rPr>
          <w:vertAlign w:val="subscript"/>
        </w:rPr>
        <w:t>2</w:t>
      </w:r>
      <w:r>
        <w:t xml:space="preserve">O] = </w:t>
      </w:r>
      <w:r w:rsidR="004443CF">
        <w:t>3.5</w:t>
      </w:r>
      <w:r w:rsidR="00C67C22">
        <w:t xml:space="preserve"> </w:t>
      </w:r>
      <w:r w:rsidR="007872F8">
        <w:t>mol L</w:t>
      </w:r>
      <w:r w:rsidR="007872F8" w:rsidRPr="00C36DA0">
        <w:rPr>
          <w:rFonts w:ascii="Arial" w:hAnsi="Arial" w:cs="Arial"/>
          <w:vertAlign w:val="superscript"/>
        </w:rPr>
        <w:t>–</w:t>
      </w:r>
      <w:r w:rsidR="007872F8">
        <w:rPr>
          <w:vertAlign w:val="superscript"/>
        </w:rPr>
        <w:t>1</w:t>
      </w:r>
    </w:p>
    <w:p w14:paraId="74122777" w14:textId="77777777" w:rsidR="002063A4" w:rsidRDefault="00C36DA0" w:rsidP="00C67C22">
      <w:pPr>
        <w:pStyle w:val="NoSpacing"/>
        <w:rPr>
          <w:vertAlign w:val="superscript"/>
        </w:rPr>
      </w:pPr>
      <w:r>
        <w:tab/>
      </w:r>
      <w:r>
        <w:tab/>
      </w:r>
      <w:r>
        <w:rPr>
          <w:i/>
        </w:rPr>
        <w:t>D</w:t>
      </w:r>
      <w:r>
        <w:t xml:space="preserve"> = </w:t>
      </w:r>
      <w:r w:rsidR="00A02856">
        <w:t xml:space="preserve">1.1 </w:t>
      </w:r>
      <w:r w:rsidR="00A02856">
        <w:rPr>
          <w:rFonts w:cs="Times New Roman"/>
        </w:rPr>
        <w:t>× 10</w:t>
      </w:r>
      <w:r w:rsidR="00A02856" w:rsidRPr="00C36DA0">
        <w:rPr>
          <w:rFonts w:ascii="Arial" w:hAnsi="Arial" w:cs="Arial"/>
          <w:vertAlign w:val="superscript"/>
        </w:rPr>
        <w:t>–</w:t>
      </w:r>
      <w:r w:rsidR="00A02856">
        <w:rPr>
          <w:vertAlign w:val="superscript"/>
        </w:rPr>
        <w:t xml:space="preserve">5 </w:t>
      </w:r>
      <w:r w:rsidR="00A02856" w:rsidRPr="00A02856">
        <w:t>cm</w:t>
      </w:r>
      <w:r w:rsidR="00A02856">
        <w:rPr>
          <w:vertAlign w:val="superscript"/>
        </w:rPr>
        <w:t>2</w:t>
      </w:r>
      <w:r w:rsidR="00A02856">
        <w:t xml:space="preserve"> s</w:t>
      </w:r>
      <w:r w:rsidR="00A02856" w:rsidRPr="00C36DA0">
        <w:rPr>
          <w:rFonts w:ascii="Arial" w:hAnsi="Arial" w:cs="Arial"/>
          <w:vertAlign w:val="superscript"/>
        </w:rPr>
        <w:t>–</w:t>
      </w:r>
      <w:r w:rsidR="00A02856">
        <w:rPr>
          <w:vertAlign w:val="superscript"/>
        </w:rPr>
        <w:t>1</w:t>
      </w:r>
    </w:p>
    <w:p w14:paraId="1FF0A1C8" w14:textId="2F28CB4F" w:rsidR="0065060E" w:rsidRDefault="0065060E" w:rsidP="0065060E">
      <w:pPr>
        <w:pStyle w:val="NoSpacing"/>
        <w:rPr>
          <w:vertAlign w:val="superscript"/>
        </w:rPr>
      </w:pPr>
      <w:r>
        <w:rPr>
          <w:vertAlign w:val="superscript"/>
        </w:rPr>
        <w:tab/>
      </w:r>
      <w:r>
        <w:rPr>
          <w:vertAlign w:val="subscript"/>
        </w:rPr>
        <w:tab/>
      </w:r>
      <w:r>
        <w:rPr>
          <w:i/>
        </w:rPr>
        <w:t>i</w:t>
      </w:r>
      <w:r>
        <w:rPr>
          <w:i/>
          <w:vertAlign w:val="subscript"/>
        </w:rPr>
        <w:t>cat</w:t>
      </w:r>
      <w:r>
        <w:t xml:space="preserve"> = </w:t>
      </w:r>
      <w:r>
        <w:t>0.00035 C/s</w:t>
      </w:r>
    </w:p>
    <w:p w14:paraId="6D7B466D" w14:textId="77777777" w:rsidR="0065060E" w:rsidRDefault="0065060E" w:rsidP="0065060E">
      <w:pPr>
        <w:pStyle w:val="NoSpacing"/>
        <w:rPr>
          <w:color w:val="FF0000"/>
          <w:sz w:val="22"/>
        </w:rPr>
      </w:pPr>
    </w:p>
    <w:p w14:paraId="206009C9" w14:textId="2BFBA1AA" w:rsidR="00F53C53" w:rsidRDefault="00F53C53">
      <w:pPr>
        <w:rPr>
          <w:sz w:val="56"/>
          <w:vertAlign w:val="subscript"/>
        </w:rPr>
      </w:pPr>
    </w:p>
    <w:sectPr w:rsidR="00F53C53" w:rsidSect="006E11D6">
      <w:headerReference w:type="default" r:id="rId9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1581A" w14:textId="77777777" w:rsidR="00BF2C06" w:rsidRDefault="00BF2C06" w:rsidP="007956B3">
      <w:pPr>
        <w:spacing w:after="0" w:line="240" w:lineRule="auto"/>
      </w:pPr>
      <w:r>
        <w:separator/>
      </w:r>
    </w:p>
  </w:endnote>
  <w:endnote w:type="continuationSeparator" w:id="0">
    <w:p w14:paraId="159A52EC" w14:textId="77777777" w:rsidR="00BF2C06" w:rsidRDefault="00BF2C06" w:rsidP="0079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5FFE9" w14:textId="77777777" w:rsidR="00BF2C06" w:rsidRDefault="00BF2C06" w:rsidP="007956B3">
      <w:pPr>
        <w:spacing w:after="0" w:line="240" w:lineRule="auto"/>
      </w:pPr>
      <w:r>
        <w:separator/>
      </w:r>
    </w:p>
  </w:footnote>
  <w:footnote w:type="continuationSeparator" w:id="0">
    <w:p w14:paraId="684B5768" w14:textId="77777777" w:rsidR="00BF2C06" w:rsidRDefault="00BF2C06" w:rsidP="00795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F99B6" w14:textId="77777777" w:rsidR="00D3665D" w:rsidRPr="00182336" w:rsidRDefault="00D3665D" w:rsidP="00402C90">
    <w:pPr>
      <w:jc w:val="both"/>
    </w:pPr>
    <w:r>
      <w:rPr>
        <w:rFonts w:ascii="Arial" w:hAnsi="Arial"/>
        <w:sz w:val="20"/>
      </w:rPr>
      <w:t>Created by Kathleen Field, Worcester Polytechnic Institute (</w:t>
    </w:r>
    <w:hyperlink r:id="rId1" w:history="1">
      <w:r w:rsidRPr="00373E03">
        <w:rPr>
          <w:rStyle w:val="Hyperlink"/>
          <w:rFonts w:ascii="Arial" w:hAnsi="Arial"/>
          <w:sz w:val="20"/>
        </w:rPr>
        <w:t>kfield@wpi.edu</w:t>
      </w:r>
    </w:hyperlink>
    <w:r>
      <w:rPr>
        <w:rFonts w:ascii="Arial" w:hAnsi="Arial"/>
        <w:sz w:val="20"/>
      </w:rPr>
      <w:t>);Keith M. Krise, Gannon University (</w:t>
    </w:r>
    <w:hyperlink r:id="rId2" w:history="1">
      <w:r w:rsidRPr="00DB1861">
        <w:rPr>
          <w:rStyle w:val="Hyperlink"/>
          <w:rFonts w:ascii="Arial" w:hAnsi="Arial"/>
          <w:sz w:val="20"/>
        </w:rPr>
        <w:t>krise001@gannon.edu</w:t>
      </w:r>
    </w:hyperlink>
    <w:r>
      <w:rPr>
        <w:rFonts w:ascii="Arial" w:hAnsi="Arial"/>
        <w:sz w:val="20"/>
      </w:rPr>
      <w:t>); Sarah Goforth, Campbell University (</w:t>
    </w:r>
    <w:hyperlink r:id="rId3" w:history="1">
      <w:r w:rsidRPr="00373E03">
        <w:rPr>
          <w:rStyle w:val="Hyperlink"/>
          <w:rFonts w:ascii="Arial" w:hAnsi="Arial"/>
          <w:sz w:val="20"/>
        </w:rPr>
        <w:t>goforth@campbell.edy</w:t>
      </w:r>
    </w:hyperlink>
    <w:r>
      <w:rPr>
        <w:rFonts w:ascii="Arial" w:hAnsi="Arial"/>
        <w:sz w:val="20"/>
      </w:rPr>
      <w:t>); James Kirby, Quinnipiac University (</w:t>
    </w:r>
    <w:hyperlink r:id="rId4" w:history="1">
      <w:r w:rsidRPr="00373E03">
        <w:rPr>
          <w:rStyle w:val="Hyperlink"/>
          <w:rFonts w:ascii="Arial" w:hAnsi="Arial"/>
          <w:sz w:val="20"/>
        </w:rPr>
        <w:t>james.kirby@quinnipiac.edu</w:t>
      </w:r>
    </w:hyperlink>
    <w:r>
      <w:rPr>
        <w:rFonts w:ascii="Arial" w:hAnsi="Arial"/>
        <w:sz w:val="20"/>
      </w:rPr>
      <w:t>); and Christina McCartha, Newberry College (</w:t>
    </w:r>
    <w:hyperlink r:id="rId5" w:history="1">
      <w:r w:rsidRPr="00DB1861">
        <w:rPr>
          <w:rStyle w:val="Hyperlink"/>
          <w:rFonts w:ascii="Arial" w:hAnsi="Arial"/>
          <w:sz w:val="20"/>
        </w:rPr>
        <w:t>christina.mccartha@newberry.edu</w:t>
      </w:r>
    </w:hyperlink>
    <w:r>
      <w:rPr>
        <w:rFonts w:ascii="Arial" w:hAnsi="Arial"/>
        <w:sz w:val="20"/>
      </w:rPr>
      <w:t xml:space="preserve">) and posted on VIPEr on July 2, 2015.  Copyright Kathleen Field, Keith M. Krise, Sarah Goforth, James Kirby, and Christina McCartha 2015.  This work is licensed under the Creative </w:t>
    </w:r>
    <w:r>
      <w:rPr>
        <w:rFonts w:ascii="Arial" w:hAnsi="Arial" w:cs="Arial"/>
        <w:sz w:val="20"/>
      </w:rPr>
      <w:t>Commons Attribution Non-Commercial Share Alike</w:t>
    </w:r>
    <w:r>
      <w:t xml:space="preserve"> </w:t>
    </w:r>
    <w:r>
      <w:rPr>
        <w:rFonts w:ascii="Arial" w:hAnsi="Arial"/>
        <w:sz w:val="20"/>
      </w:rPr>
      <w:t xml:space="preserve">License. To view a copy of this license visit </w:t>
    </w:r>
    <w:hyperlink r:id="rId6" w:history="1">
      <w:r>
        <w:rPr>
          <w:rStyle w:val="Hyperlink"/>
          <w:rFonts w:ascii="Arial" w:hAnsi="Arial"/>
          <w:sz w:val="20"/>
        </w:rPr>
        <w:t>http://creativecommons.org/about/license/</w:t>
      </w:r>
    </w:hyperlink>
    <w:r>
      <w:rPr>
        <w:rFonts w:ascii="Arial" w:hAnsi="Arial"/>
        <w:sz w:val="20"/>
      </w:rPr>
      <w:t>.</w:t>
    </w:r>
  </w:p>
  <w:p w14:paraId="5C88BFE5" w14:textId="77777777" w:rsidR="00D3665D" w:rsidRPr="00402C90" w:rsidRDefault="00D3665D" w:rsidP="00402C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71F18"/>
    <w:multiLevelType w:val="hybridMultilevel"/>
    <w:tmpl w:val="2E98E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752E5"/>
    <w:multiLevelType w:val="hybridMultilevel"/>
    <w:tmpl w:val="AB90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1560C4"/>
    <w:multiLevelType w:val="hybridMultilevel"/>
    <w:tmpl w:val="BBC0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A00DC"/>
    <w:multiLevelType w:val="hybridMultilevel"/>
    <w:tmpl w:val="191224C4"/>
    <w:lvl w:ilvl="0" w:tplc="7954EF2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3A4917"/>
    <w:multiLevelType w:val="hybridMultilevel"/>
    <w:tmpl w:val="E52C5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43E58"/>
    <w:multiLevelType w:val="hybridMultilevel"/>
    <w:tmpl w:val="4C0A7D9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AC"/>
    <w:rsid w:val="00023471"/>
    <w:rsid w:val="00093DEA"/>
    <w:rsid w:val="000C620C"/>
    <w:rsid w:val="000E0FB2"/>
    <w:rsid w:val="001B7F3D"/>
    <w:rsid w:val="001E06DF"/>
    <w:rsid w:val="001F1E54"/>
    <w:rsid w:val="001F728E"/>
    <w:rsid w:val="002063A4"/>
    <w:rsid w:val="00213858"/>
    <w:rsid w:val="0021681F"/>
    <w:rsid w:val="0022364A"/>
    <w:rsid w:val="00243A9F"/>
    <w:rsid w:val="00257A58"/>
    <w:rsid w:val="00280017"/>
    <w:rsid w:val="002D318B"/>
    <w:rsid w:val="00303DE9"/>
    <w:rsid w:val="0031071A"/>
    <w:rsid w:val="00396232"/>
    <w:rsid w:val="003A6492"/>
    <w:rsid w:val="00400AFA"/>
    <w:rsid w:val="00402C90"/>
    <w:rsid w:val="004072A9"/>
    <w:rsid w:val="004443CF"/>
    <w:rsid w:val="005013BA"/>
    <w:rsid w:val="00503753"/>
    <w:rsid w:val="0052182D"/>
    <w:rsid w:val="00570B09"/>
    <w:rsid w:val="005909D0"/>
    <w:rsid w:val="005D355E"/>
    <w:rsid w:val="00624968"/>
    <w:rsid w:val="006467DF"/>
    <w:rsid w:val="0065060E"/>
    <w:rsid w:val="006D07BD"/>
    <w:rsid w:val="006E11D6"/>
    <w:rsid w:val="0070166F"/>
    <w:rsid w:val="007872F8"/>
    <w:rsid w:val="007956B3"/>
    <w:rsid w:val="007B5348"/>
    <w:rsid w:val="00814DD7"/>
    <w:rsid w:val="00815B61"/>
    <w:rsid w:val="00824365"/>
    <w:rsid w:val="008368E1"/>
    <w:rsid w:val="00855DAB"/>
    <w:rsid w:val="008703C9"/>
    <w:rsid w:val="008D3D9E"/>
    <w:rsid w:val="008D452A"/>
    <w:rsid w:val="008F665C"/>
    <w:rsid w:val="00920930"/>
    <w:rsid w:val="009424AC"/>
    <w:rsid w:val="00960368"/>
    <w:rsid w:val="009613B6"/>
    <w:rsid w:val="009A1F33"/>
    <w:rsid w:val="009A2D4A"/>
    <w:rsid w:val="009B6177"/>
    <w:rsid w:val="009F0592"/>
    <w:rsid w:val="00A02856"/>
    <w:rsid w:val="00A11F30"/>
    <w:rsid w:val="00A74DF5"/>
    <w:rsid w:val="00AC1D7F"/>
    <w:rsid w:val="00AD32FA"/>
    <w:rsid w:val="00AF6D7F"/>
    <w:rsid w:val="00B172CD"/>
    <w:rsid w:val="00B53607"/>
    <w:rsid w:val="00B56B42"/>
    <w:rsid w:val="00B67069"/>
    <w:rsid w:val="00B843D8"/>
    <w:rsid w:val="00B9267A"/>
    <w:rsid w:val="00BF1DE4"/>
    <w:rsid w:val="00BF2C06"/>
    <w:rsid w:val="00C2529E"/>
    <w:rsid w:val="00C26CB2"/>
    <w:rsid w:val="00C36DA0"/>
    <w:rsid w:val="00C67C22"/>
    <w:rsid w:val="00C7482E"/>
    <w:rsid w:val="00CB7107"/>
    <w:rsid w:val="00CE4F40"/>
    <w:rsid w:val="00D03639"/>
    <w:rsid w:val="00D14F97"/>
    <w:rsid w:val="00D2064E"/>
    <w:rsid w:val="00D26654"/>
    <w:rsid w:val="00D3665D"/>
    <w:rsid w:val="00D74B96"/>
    <w:rsid w:val="00DF18D6"/>
    <w:rsid w:val="00E65EFF"/>
    <w:rsid w:val="00EA02A1"/>
    <w:rsid w:val="00EC70C5"/>
    <w:rsid w:val="00EE65B7"/>
    <w:rsid w:val="00EF2322"/>
    <w:rsid w:val="00EF766B"/>
    <w:rsid w:val="00F02273"/>
    <w:rsid w:val="00F46A0C"/>
    <w:rsid w:val="00F53C53"/>
    <w:rsid w:val="00F8358C"/>
    <w:rsid w:val="00FA7047"/>
    <w:rsid w:val="00FF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CFA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B3"/>
  </w:style>
  <w:style w:type="paragraph" w:styleId="Footer">
    <w:name w:val="footer"/>
    <w:basedOn w:val="Normal"/>
    <w:link w:val="FooterChar"/>
    <w:uiPriority w:val="99"/>
    <w:unhideWhenUsed/>
    <w:rsid w:val="0079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B3"/>
  </w:style>
  <w:style w:type="character" w:styleId="Hyperlink">
    <w:name w:val="Hyperlink"/>
    <w:basedOn w:val="DefaultParagraphFont"/>
    <w:uiPriority w:val="99"/>
    <w:unhideWhenUsed/>
    <w:rsid w:val="007956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4DF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843D8"/>
  </w:style>
  <w:style w:type="paragraph" w:styleId="NormalWeb">
    <w:name w:val="Normal (Web)"/>
    <w:basedOn w:val="Normal"/>
    <w:uiPriority w:val="99"/>
    <w:semiHidden/>
    <w:unhideWhenUsed/>
    <w:rsid w:val="00EC70C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24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9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06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B3"/>
  </w:style>
  <w:style w:type="paragraph" w:styleId="Footer">
    <w:name w:val="footer"/>
    <w:basedOn w:val="Normal"/>
    <w:link w:val="FooterChar"/>
    <w:uiPriority w:val="99"/>
    <w:unhideWhenUsed/>
    <w:rsid w:val="007956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56B3"/>
  </w:style>
  <w:style w:type="character" w:styleId="Hyperlink">
    <w:name w:val="Hyperlink"/>
    <w:basedOn w:val="DefaultParagraphFont"/>
    <w:uiPriority w:val="99"/>
    <w:unhideWhenUsed/>
    <w:rsid w:val="007956B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74DF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B843D8"/>
  </w:style>
  <w:style w:type="paragraph" w:styleId="NormalWeb">
    <w:name w:val="Normal (Web)"/>
    <w:basedOn w:val="Normal"/>
    <w:uiPriority w:val="99"/>
    <w:semiHidden/>
    <w:unhideWhenUsed/>
    <w:rsid w:val="00EC70C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oforth@campbell.edy" TargetMode="External"/><Relationship Id="rId2" Type="http://schemas.openxmlformats.org/officeDocument/2006/relationships/hyperlink" Target="mailto:krise001@gannon.edu" TargetMode="External"/><Relationship Id="rId1" Type="http://schemas.openxmlformats.org/officeDocument/2006/relationships/hyperlink" Target="mailto:kfield@wpi.edu" TargetMode="External"/><Relationship Id="rId6" Type="http://schemas.openxmlformats.org/officeDocument/2006/relationships/hyperlink" Target="http://creativecommons.org/about/license/" TargetMode="External"/><Relationship Id="rId5" Type="http://schemas.openxmlformats.org/officeDocument/2006/relationships/hyperlink" Target="mailto:christina.mccartha@newberry.edu" TargetMode="External"/><Relationship Id="rId4" Type="http://schemas.openxmlformats.org/officeDocument/2006/relationships/hyperlink" Target="mailto:james.kirby@quinnipia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3A339-F6EA-461C-98F7-67C42775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Gannon University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PC_Tech</dc:creator>
  <cp:lastModifiedBy>PC_Tech</cp:lastModifiedBy>
  <cp:revision>3</cp:revision>
  <dcterms:created xsi:type="dcterms:W3CDTF">2015-07-09T19:56:00Z</dcterms:created>
  <dcterms:modified xsi:type="dcterms:W3CDTF">2015-07-09T19:57:00Z</dcterms:modified>
</cp:coreProperties>
</file>