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F48A0" w14:textId="77777777" w:rsidR="00BE3291" w:rsidRPr="00466EB9" w:rsidRDefault="00BE3291" w:rsidP="00BE3291">
      <w:pPr>
        <w:jc w:val="center"/>
        <w:rPr>
          <w:rFonts w:ascii="Baskerville" w:hAnsi="Baskerville"/>
          <w:b/>
          <w:bCs/>
        </w:rPr>
      </w:pPr>
      <w:r w:rsidRPr="00466EB9">
        <w:rPr>
          <w:rFonts w:ascii="Baskerville" w:hAnsi="Baskerville"/>
          <w:b/>
          <w:bCs/>
        </w:rPr>
        <w:t>Proton-Assisted Reduction of CO</w:t>
      </w:r>
      <w:r w:rsidRPr="00466EB9">
        <w:rPr>
          <w:rFonts w:ascii="Baskerville" w:hAnsi="Baskerville"/>
          <w:b/>
          <w:bCs/>
          <w:vertAlign w:val="subscript"/>
        </w:rPr>
        <w:t>2</w:t>
      </w:r>
      <w:r w:rsidRPr="00466EB9">
        <w:rPr>
          <w:rFonts w:ascii="Baskerville" w:hAnsi="Baskerville"/>
          <w:b/>
          <w:bCs/>
        </w:rPr>
        <w:t xml:space="preserve"> by Cobalt Aminopyridine Macrocycles</w:t>
      </w:r>
    </w:p>
    <w:p w14:paraId="4601EFD3" w14:textId="77777777" w:rsidR="00BE3291" w:rsidRPr="00466EB9" w:rsidRDefault="00BE3291" w:rsidP="00BE3291">
      <w:pPr>
        <w:ind w:left="720" w:hanging="360"/>
        <w:rPr>
          <w:rFonts w:ascii="Baskerville" w:hAnsi="Baskerville"/>
        </w:rPr>
      </w:pPr>
    </w:p>
    <w:p w14:paraId="535A595A" w14:textId="77777777" w:rsidR="00BE3291" w:rsidRPr="00466EB9" w:rsidRDefault="00BE3291" w:rsidP="00BE3291">
      <w:pPr>
        <w:ind w:left="720" w:hanging="360"/>
        <w:jc w:val="center"/>
        <w:rPr>
          <w:rFonts w:ascii="Baskerville" w:hAnsi="Baskerville"/>
        </w:rPr>
      </w:pPr>
      <w:hyperlink r:id="rId5" w:history="1">
        <w:proofErr w:type="spellStart"/>
        <w:r w:rsidRPr="00903E2A">
          <w:rPr>
            <w:rStyle w:val="Hyperlink"/>
            <w:rFonts w:ascii="Baskerville" w:hAnsi="Baskerville"/>
          </w:rPr>
          <w:t>Chapovetsky</w:t>
        </w:r>
        <w:proofErr w:type="spellEnd"/>
        <w:r w:rsidRPr="00903E2A">
          <w:rPr>
            <w:rStyle w:val="Hyperlink"/>
            <w:rFonts w:ascii="Baskerville" w:hAnsi="Baskerville"/>
          </w:rPr>
          <w:t xml:space="preserve">, A.; Do, T. H.; </w:t>
        </w:r>
        <w:proofErr w:type="spellStart"/>
        <w:r w:rsidRPr="00903E2A">
          <w:rPr>
            <w:rStyle w:val="Hyperlink"/>
            <w:rFonts w:ascii="Baskerville" w:hAnsi="Baskerville"/>
          </w:rPr>
          <w:t>Haiges</w:t>
        </w:r>
        <w:proofErr w:type="spellEnd"/>
        <w:r w:rsidRPr="00903E2A">
          <w:rPr>
            <w:rStyle w:val="Hyperlink"/>
            <w:rFonts w:ascii="Baskerville" w:hAnsi="Baskerville"/>
          </w:rPr>
          <w:t xml:space="preserve">, R.; Takase, M. K.; Marinescu, S. C. </w:t>
        </w:r>
        <w:r w:rsidRPr="00903E2A">
          <w:rPr>
            <w:rStyle w:val="Hyperlink"/>
            <w:rFonts w:ascii="Baskerville" w:hAnsi="Baskerville"/>
            <w:i/>
            <w:iCs/>
          </w:rPr>
          <w:t>J. Am. Chem. Soc.</w:t>
        </w:r>
        <w:r w:rsidRPr="00903E2A">
          <w:rPr>
            <w:rStyle w:val="Hyperlink"/>
            <w:rFonts w:ascii="Baskerville" w:hAnsi="Baskerville"/>
            <w:b/>
            <w:bCs/>
          </w:rPr>
          <w:t xml:space="preserve"> 2016</w:t>
        </w:r>
        <w:r w:rsidRPr="00903E2A">
          <w:rPr>
            <w:rStyle w:val="Hyperlink"/>
            <w:rFonts w:ascii="Baskerville" w:hAnsi="Baskerville"/>
          </w:rPr>
          <w:t xml:space="preserve">, </w:t>
        </w:r>
        <w:r w:rsidRPr="00903E2A">
          <w:rPr>
            <w:rStyle w:val="Hyperlink"/>
            <w:rFonts w:ascii="Baskerville" w:hAnsi="Baskerville"/>
            <w:i/>
            <w:iCs/>
          </w:rPr>
          <w:t>138</w:t>
        </w:r>
        <w:r w:rsidRPr="00903E2A">
          <w:rPr>
            <w:rStyle w:val="Hyperlink"/>
            <w:rFonts w:ascii="Baskerville" w:hAnsi="Baskerville"/>
          </w:rPr>
          <w:t>, 57</w:t>
        </w:r>
        <w:r w:rsidRPr="00903E2A">
          <w:rPr>
            <w:rStyle w:val="Hyperlink"/>
            <w:rFonts w:ascii="Baskerville" w:hAnsi="Baskerville"/>
          </w:rPr>
          <w:t>6</w:t>
        </w:r>
        <w:r w:rsidRPr="00903E2A">
          <w:rPr>
            <w:rStyle w:val="Hyperlink"/>
            <w:rFonts w:ascii="Baskerville" w:hAnsi="Baskerville"/>
          </w:rPr>
          <w:t>5–5768.</w:t>
        </w:r>
      </w:hyperlink>
    </w:p>
    <w:p w14:paraId="4C22BA85" w14:textId="77777777" w:rsidR="00BE3291" w:rsidRPr="0013256A" w:rsidRDefault="00BE3291" w:rsidP="00BE3291">
      <w:pPr>
        <w:rPr>
          <w:rFonts w:ascii="Baskerville" w:hAnsi="Baskerville"/>
          <w:b/>
          <w:bCs/>
        </w:rPr>
      </w:pPr>
    </w:p>
    <w:p w14:paraId="6B5A5E93" w14:textId="77777777" w:rsidR="00BE3291" w:rsidRPr="0013256A" w:rsidRDefault="00BE3291" w:rsidP="00BE3291">
      <w:pPr>
        <w:rPr>
          <w:rFonts w:ascii="Baskerville" w:hAnsi="Baskerville"/>
          <w:b/>
          <w:bCs/>
        </w:rPr>
      </w:pPr>
    </w:p>
    <w:p w14:paraId="04EB1A94" w14:textId="77777777" w:rsidR="00BE3291" w:rsidRPr="0013256A" w:rsidRDefault="00BE3291" w:rsidP="00BE3291">
      <w:pPr>
        <w:jc w:val="center"/>
        <w:rPr>
          <w:rFonts w:ascii="Baskerville" w:hAnsi="Baskerville"/>
        </w:rPr>
      </w:pPr>
      <w:r w:rsidRPr="0013256A">
        <w:rPr>
          <w:rFonts w:ascii="Baskerville" w:hAnsi="Baskerville"/>
        </w:rPr>
        <w:t>This literature discussion was written in Spring 2021 to celebrate Prof. Marinescu, the recipient of the ACS Harry Gray Award for Creative Work in Inorganic Chemistry by a Young Investigator.</w:t>
      </w:r>
    </w:p>
    <w:p w14:paraId="4A6745E7" w14:textId="77777777" w:rsidR="00BE3291" w:rsidRPr="0013256A" w:rsidRDefault="00BE3291" w:rsidP="00BE3291">
      <w:pPr>
        <w:pBdr>
          <w:bottom w:val="single" w:sz="6" w:space="1" w:color="auto"/>
        </w:pBdr>
        <w:rPr>
          <w:rFonts w:ascii="Baskerville" w:hAnsi="Baskerville"/>
        </w:rPr>
      </w:pPr>
    </w:p>
    <w:p w14:paraId="76F19A36" w14:textId="77777777" w:rsidR="00BE3291" w:rsidRPr="0013256A" w:rsidRDefault="00BE3291" w:rsidP="00BE3291">
      <w:pPr>
        <w:rPr>
          <w:rFonts w:ascii="Baskerville" w:hAnsi="Baskerville"/>
          <w:b/>
          <w:bCs/>
        </w:rPr>
      </w:pPr>
    </w:p>
    <w:p w14:paraId="2DB60E04" w14:textId="77777777" w:rsidR="00BE3291" w:rsidRPr="0013256A" w:rsidRDefault="00BE3291" w:rsidP="00BE3291">
      <w:pPr>
        <w:tabs>
          <w:tab w:val="left" w:pos="7662"/>
        </w:tabs>
        <w:rPr>
          <w:rFonts w:ascii="Baskerville" w:hAnsi="Baskerville"/>
        </w:rPr>
      </w:pPr>
      <w:r w:rsidRPr="0013256A">
        <w:rPr>
          <w:rFonts w:ascii="Baskerville" w:hAnsi="Baskerville"/>
          <w:b/>
          <w:bCs/>
        </w:rPr>
        <w:t>Learning Goals</w:t>
      </w:r>
      <w:r w:rsidRPr="0013256A">
        <w:rPr>
          <w:rFonts w:ascii="Baskerville" w:hAnsi="Baskerville"/>
          <w:b/>
          <w:bCs/>
        </w:rPr>
        <w:tab/>
      </w:r>
    </w:p>
    <w:p w14:paraId="3C4487CB" w14:textId="77777777" w:rsidR="00BE3291" w:rsidRPr="0013256A" w:rsidRDefault="00BE3291" w:rsidP="00BE3291">
      <w:pPr>
        <w:rPr>
          <w:rFonts w:ascii="Baskerville" w:hAnsi="Baskerville"/>
        </w:rPr>
      </w:pPr>
      <w:r w:rsidRPr="0013256A">
        <w:rPr>
          <w:rFonts w:ascii="Baskerville" w:hAnsi="Baskerville"/>
          <w:b/>
          <w:bCs/>
        </w:rPr>
        <w:t>Students should be able to</w:t>
      </w:r>
      <w:r w:rsidRPr="0013256A">
        <w:rPr>
          <w:rFonts w:ascii="Baskerville" w:hAnsi="Baskerville"/>
        </w:rPr>
        <w:t xml:space="preserve">: </w:t>
      </w:r>
    </w:p>
    <w:p w14:paraId="2C1A5682" w14:textId="77777777" w:rsidR="00BE3291" w:rsidRPr="0013256A" w:rsidRDefault="00BE3291" w:rsidP="00BE3291">
      <w:pPr>
        <w:pStyle w:val="ListParagraph"/>
        <w:numPr>
          <w:ilvl w:val="0"/>
          <w:numId w:val="2"/>
        </w:numPr>
        <w:rPr>
          <w:rFonts w:ascii="Baskerville" w:hAnsi="Baskerville"/>
        </w:rPr>
      </w:pPr>
      <w:r w:rsidRPr="0013256A">
        <w:rPr>
          <w:rFonts w:ascii="Baskerville" w:hAnsi="Baskerville"/>
        </w:rPr>
        <w:t>Determine the oxidation number of metal centers and count valence electrons in metal complexes</w:t>
      </w:r>
    </w:p>
    <w:p w14:paraId="097571F3" w14:textId="77777777" w:rsidR="00BE3291" w:rsidRPr="0013256A" w:rsidRDefault="00BE3291" w:rsidP="00BE3291">
      <w:pPr>
        <w:pStyle w:val="ListParagraph"/>
        <w:numPr>
          <w:ilvl w:val="0"/>
          <w:numId w:val="2"/>
        </w:numPr>
        <w:rPr>
          <w:rFonts w:ascii="Baskerville" w:hAnsi="Baskerville"/>
        </w:rPr>
      </w:pPr>
      <w:r w:rsidRPr="0013256A">
        <w:rPr>
          <w:rFonts w:ascii="Baskerville" w:hAnsi="Baskerville"/>
        </w:rPr>
        <w:t>Deduce a likely mechanism for a ligand substitution reaction</w:t>
      </w:r>
    </w:p>
    <w:p w14:paraId="79A13E02" w14:textId="77777777" w:rsidR="00BE3291" w:rsidRPr="0013256A" w:rsidRDefault="00BE3291" w:rsidP="00BE3291">
      <w:pPr>
        <w:pStyle w:val="ListParagraph"/>
        <w:numPr>
          <w:ilvl w:val="0"/>
          <w:numId w:val="2"/>
        </w:numPr>
        <w:rPr>
          <w:rFonts w:ascii="Baskerville" w:hAnsi="Baskerville"/>
        </w:rPr>
      </w:pPr>
      <w:r w:rsidRPr="0013256A">
        <w:rPr>
          <w:rFonts w:ascii="Baskerville" w:hAnsi="Baskerville"/>
        </w:rPr>
        <w:t xml:space="preserve">Justify the observed colors of metal complexes containing different ligands </w:t>
      </w:r>
    </w:p>
    <w:p w14:paraId="39D4BE8D" w14:textId="77777777" w:rsidR="00BE3291" w:rsidRPr="0013256A" w:rsidRDefault="00BE3291" w:rsidP="00BE3291">
      <w:pPr>
        <w:pStyle w:val="ListParagraph"/>
        <w:numPr>
          <w:ilvl w:val="0"/>
          <w:numId w:val="2"/>
        </w:numPr>
        <w:rPr>
          <w:rFonts w:ascii="Baskerville" w:hAnsi="Baskerville"/>
        </w:rPr>
      </w:pPr>
      <w:r w:rsidRPr="0013256A">
        <w:rPr>
          <w:rFonts w:ascii="Baskerville" w:hAnsi="Baskerville"/>
        </w:rPr>
        <w:t>Perform a density calculation of a unit cell</w:t>
      </w:r>
    </w:p>
    <w:p w14:paraId="319EE963" w14:textId="77777777" w:rsidR="00BE3291" w:rsidRPr="0013256A" w:rsidRDefault="00BE3291" w:rsidP="00BE3291">
      <w:pPr>
        <w:pStyle w:val="ListParagraph"/>
        <w:numPr>
          <w:ilvl w:val="0"/>
          <w:numId w:val="2"/>
        </w:numPr>
        <w:pBdr>
          <w:bottom w:val="single" w:sz="6" w:space="1" w:color="auto"/>
        </w:pBdr>
        <w:rPr>
          <w:rFonts w:ascii="Baskerville" w:hAnsi="Baskerville"/>
        </w:rPr>
      </w:pPr>
      <w:r w:rsidRPr="0013256A">
        <w:rPr>
          <w:rFonts w:ascii="Baskerville" w:hAnsi="Baskerville"/>
        </w:rPr>
        <w:t>Locate symmetry operations of a macrocycle</w:t>
      </w:r>
    </w:p>
    <w:p w14:paraId="386C3D5A" w14:textId="77777777" w:rsidR="00BE3291" w:rsidRPr="0013256A" w:rsidRDefault="00BE3291" w:rsidP="00BE3291">
      <w:pPr>
        <w:pBdr>
          <w:bottom w:val="single" w:sz="6" w:space="1" w:color="auto"/>
        </w:pBdr>
        <w:ind w:left="360"/>
        <w:rPr>
          <w:rFonts w:ascii="Baskerville" w:hAnsi="Baskerville"/>
        </w:rPr>
      </w:pPr>
    </w:p>
    <w:p w14:paraId="2B7A7CFD" w14:textId="77777777" w:rsidR="00BE3291" w:rsidRPr="0013256A" w:rsidRDefault="00BE3291" w:rsidP="00BE3291">
      <w:pPr>
        <w:ind w:left="720" w:hanging="360"/>
        <w:rPr>
          <w:rFonts w:ascii="Baskerville" w:hAnsi="Baskerville"/>
        </w:rPr>
      </w:pPr>
    </w:p>
    <w:p w14:paraId="1519C0D7" w14:textId="77777777" w:rsidR="00BE3291" w:rsidRPr="0013256A" w:rsidRDefault="00BE3291" w:rsidP="00BE3291">
      <w:pPr>
        <w:pStyle w:val="ListParagraph"/>
        <w:numPr>
          <w:ilvl w:val="0"/>
          <w:numId w:val="1"/>
        </w:numPr>
        <w:rPr>
          <w:rFonts w:ascii="Baskerville" w:hAnsi="Baskerville"/>
        </w:rPr>
      </w:pPr>
      <w:r w:rsidRPr="0013256A">
        <w:rPr>
          <w:rFonts w:ascii="Baskerville" w:hAnsi="Baskerville"/>
        </w:rPr>
        <w:t>From the proposed catalytic cycle (Please see Figure 3 of the article) for the reduction of CO</w:t>
      </w:r>
      <w:r w:rsidRPr="0013256A">
        <w:rPr>
          <w:rFonts w:ascii="Baskerville" w:hAnsi="Baskerville"/>
          <w:vertAlign w:val="subscript"/>
        </w:rPr>
        <w:t>2</w:t>
      </w:r>
      <w:r w:rsidRPr="0013256A">
        <w:rPr>
          <w:rFonts w:ascii="Baskerville" w:hAnsi="Baskerville"/>
        </w:rPr>
        <w:t xml:space="preserve"> with cobalt complex </w:t>
      </w:r>
      <w:r w:rsidRPr="0013256A">
        <w:rPr>
          <w:rFonts w:ascii="Baskerville" w:hAnsi="Baskerville"/>
          <w:b/>
          <w:bCs/>
        </w:rPr>
        <w:t>1</w:t>
      </w:r>
      <w:r w:rsidRPr="0013256A">
        <w:rPr>
          <w:rFonts w:ascii="Baskerville" w:hAnsi="Baskerville"/>
        </w:rPr>
        <w:t>, [Co(L</w:t>
      </w:r>
      <w:proofErr w:type="gramStart"/>
      <w:r w:rsidRPr="0013256A">
        <w:rPr>
          <w:rFonts w:ascii="Baskerville" w:hAnsi="Baskerville"/>
          <w:vertAlign w:val="superscript"/>
        </w:rPr>
        <w:t>1</w:t>
      </w:r>
      <w:r w:rsidRPr="0013256A">
        <w:rPr>
          <w:rFonts w:ascii="Baskerville" w:hAnsi="Baskerville"/>
        </w:rPr>
        <w:t>)(</w:t>
      </w:r>
      <w:proofErr w:type="gramEnd"/>
      <w:r w:rsidRPr="0013256A">
        <w:rPr>
          <w:rFonts w:ascii="Baskerville" w:hAnsi="Baskerville"/>
        </w:rPr>
        <w:t>acetone)</w:t>
      </w:r>
      <w:r w:rsidRPr="0013256A">
        <w:rPr>
          <w:rFonts w:ascii="Baskerville" w:hAnsi="Baskerville"/>
          <w:vertAlign w:val="subscript"/>
        </w:rPr>
        <w:t>2</w:t>
      </w:r>
      <w:r w:rsidRPr="0013256A">
        <w:rPr>
          <w:rFonts w:ascii="Baskerville" w:hAnsi="Baskerville"/>
        </w:rPr>
        <w:t>][BF</w:t>
      </w:r>
      <w:r w:rsidRPr="0013256A">
        <w:rPr>
          <w:rFonts w:ascii="Baskerville" w:hAnsi="Baskerville"/>
          <w:vertAlign w:val="subscript"/>
        </w:rPr>
        <w:t>4</w:t>
      </w:r>
      <w:r w:rsidRPr="0013256A">
        <w:rPr>
          <w:rFonts w:ascii="Baskerville" w:hAnsi="Baskerville"/>
        </w:rPr>
        <w:t>]</w:t>
      </w:r>
      <w:r w:rsidRPr="0013256A">
        <w:rPr>
          <w:rFonts w:ascii="Baskerville" w:hAnsi="Baskerville"/>
          <w:vertAlign w:val="subscript"/>
        </w:rPr>
        <w:t>2</w:t>
      </w:r>
      <w:r w:rsidRPr="0013256A">
        <w:rPr>
          <w:rFonts w:ascii="Baskerville" w:hAnsi="Baskerville"/>
        </w:rPr>
        <w:t>, identify the oxidation state of the metal, the number of d electrons, and the total number of electrons for each complex.</w:t>
      </w:r>
    </w:p>
    <w:p w14:paraId="1807C429" w14:textId="77777777" w:rsidR="00BE3291" w:rsidRPr="0013256A" w:rsidRDefault="00BE3291" w:rsidP="00BE3291">
      <w:pPr>
        <w:rPr>
          <w:rFonts w:ascii="Baskerville" w:hAnsi="Baskerville"/>
        </w:rPr>
      </w:pPr>
    </w:p>
    <w:p w14:paraId="7CFD1A61" w14:textId="77777777" w:rsidR="00BE3291" w:rsidRPr="00903E2A" w:rsidRDefault="00BE3291" w:rsidP="00BE3291">
      <w:pPr>
        <w:pStyle w:val="ListParagraph"/>
        <w:numPr>
          <w:ilvl w:val="0"/>
          <w:numId w:val="1"/>
        </w:numPr>
        <w:rPr>
          <w:rFonts w:ascii="Baskerville" w:hAnsi="Baskerville"/>
        </w:rPr>
      </w:pPr>
      <w:r w:rsidRPr="0013256A">
        <w:rPr>
          <w:rFonts w:ascii="Baskerville" w:hAnsi="Baskerville"/>
        </w:rPr>
        <w:t>In order for CO</w:t>
      </w:r>
      <w:r w:rsidRPr="0013256A">
        <w:rPr>
          <w:rFonts w:ascii="Baskerville" w:hAnsi="Baskerville"/>
          <w:vertAlign w:val="subscript"/>
        </w:rPr>
        <w:t>2</w:t>
      </w:r>
      <w:r w:rsidRPr="0013256A">
        <w:rPr>
          <w:rFonts w:ascii="Baskerville" w:hAnsi="Baskerville"/>
        </w:rPr>
        <w:t xml:space="preserve"> to coordinate the cobalt center, an empty site must be generated by removing the coordinating solvent (complex </w:t>
      </w:r>
      <w:r w:rsidRPr="0013256A">
        <w:rPr>
          <w:rFonts w:ascii="Baskerville" w:hAnsi="Baskerville"/>
          <w:b/>
          <w:bCs/>
        </w:rPr>
        <w:t>4</w:t>
      </w:r>
      <w:r w:rsidRPr="0013256A">
        <w:rPr>
          <w:rFonts w:ascii="Baskerville" w:hAnsi="Baskerville"/>
        </w:rPr>
        <w:t xml:space="preserve"> </w:t>
      </w:r>
      <w:r w:rsidRPr="00466EB9">
        <w:rPr>
          <w:rFonts w:ascii="Baskerville" w:hAnsi="Baskerville"/>
        </w:rPr>
        <w:sym w:font="Symbol" w:char="F0AE"/>
      </w:r>
      <w:r w:rsidRPr="00466EB9">
        <w:rPr>
          <w:rFonts w:ascii="Baskerville" w:hAnsi="Baskerville"/>
        </w:rPr>
        <w:t xml:space="preserve"> </w:t>
      </w:r>
      <w:r w:rsidRPr="00903E2A">
        <w:rPr>
          <w:rFonts w:ascii="Baskerville" w:hAnsi="Baskerville"/>
          <w:b/>
          <w:bCs/>
        </w:rPr>
        <w:t>5</w:t>
      </w:r>
      <w:r w:rsidRPr="00903E2A">
        <w:rPr>
          <w:rFonts w:ascii="Baskerville" w:hAnsi="Baskerville"/>
        </w:rPr>
        <w:t xml:space="preserve">).   </w:t>
      </w:r>
    </w:p>
    <w:p w14:paraId="14E9F201" w14:textId="77777777" w:rsidR="00BE3291" w:rsidRPr="0013256A" w:rsidRDefault="00BE3291" w:rsidP="00BE3291">
      <w:pPr>
        <w:pStyle w:val="ListParagraph"/>
        <w:numPr>
          <w:ilvl w:val="0"/>
          <w:numId w:val="3"/>
        </w:numPr>
        <w:rPr>
          <w:rFonts w:ascii="Baskerville" w:hAnsi="Baskerville"/>
        </w:rPr>
      </w:pPr>
      <w:r w:rsidRPr="0013256A">
        <w:rPr>
          <w:rFonts w:ascii="Baskerville" w:hAnsi="Baskerville"/>
        </w:rPr>
        <w:t>What is the likely mechanism (associative or dissociative) for the ligand substitution reaction for this step?</w:t>
      </w:r>
    </w:p>
    <w:p w14:paraId="6DF5C017" w14:textId="77777777" w:rsidR="00BE3291" w:rsidRPr="0013256A" w:rsidRDefault="00BE3291" w:rsidP="00BE3291">
      <w:pPr>
        <w:pStyle w:val="ListParagraph"/>
        <w:numPr>
          <w:ilvl w:val="0"/>
          <w:numId w:val="3"/>
        </w:numPr>
        <w:rPr>
          <w:rFonts w:ascii="Baskerville" w:hAnsi="Baskerville"/>
        </w:rPr>
      </w:pPr>
      <w:r w:rsidRPr="0013256A">
        <w:rPr>
          <w:rFonts w:ascii="Baskerville" w:hAnsi="Baskerville"/>
        </w:rPr>
        <w:t>Write the necessary equation for each sub-reaction involved in the mechanism that you propose.</w:t>
      </w:r>
    </w:p>
    <w:p w14:paraId="07D7273F" w14:textId="77777777" w:rsidR="00BE3291" w:rsidRPr="0013256A" w:rsidRDefault="00BE3291" w:rsidP="00BE3291">
      <w:pPr>
        <w:pStyle w:val="ListParagraph"/>
        <w:numPr>
          <w:ilvl w:val="0"/>
          <w:numId w:val="3"/>
        </w:numPr>
        <w:rPr>
          <w:rFonts w:ascii="Baskerville" w:hAnsi="Baskerville"/>
        </w:rPr>
      </w:pPr>
      <w:proofErr w:type="spellStart"/>
      <w:r w:rsidRPr="0013256A">
        <w:rPr>
          <w:rFonts w:ascii="Baskerville" w:hAnsi="Baskerville"/>
        </w:rPr>
        <w:t>Munakata</w:t>
      </w:r>
      <w:proofErr w:type="spellEnd"/>
      <w:r w:rsidRPr="0013256A">
        <w:rPr>
          <w:rFonts w:ascii="Baskerville" w:hAnsi="Baskerville"/>
        </w:rPr>
        <w:t xml:space="preserve"> and co-workers report the ability of various solvents to coordinate to a metal center or the coordination power.</w:t>
      </w:r>
      <w:proofErr w:type="gramStart"/>
      <w:r w:rsidRPr="0013256A">
        <w:rPr>
          <w:rFonts w:ascii="Baskerville" w:hAnsi="Baskerville"/>
          <w:vertAlign w:val="superscript"/>
        </w:rPr>
        <w:t>1</w:t>
      </w:r>
      <w:r w:rsidRPr="0013256A">
        <w:rPr>
          <w:rFonts w:ascii="Baskerville" w:hAnsi="Baskerville"/>
        </w:rPr>
        <w:t xml:space="preserve">  Among</w:t>
      </w:r>
      <w:proofErr w:type="gramEnd"/>
      <w:r w:rsidRPr="0013256A">
        <w:rPr>
          <w:rFonts w:ascii="Baskerville" w:hAnsi="Baskerville"/>
        </w:rPr>
        <w:t xml:space="preserve"> the solvents employed in this article, pyridine exhibits the highest coordination power, followed by water, and acetonitrile, respectively.  Please rank the rate of ligand substitution of the [Co(L</w:t>
      </w:r>
      <w:proofErr w:type="gramStart"/>
      <w:r w:rsidRPr="0013256A">
        <w:rPr>
          <w:rFonts w:ascii="Baskerville" w:hAnsi="Baskerville"/>
          <w:vertAlign w:val="superscript"/>
        </w:rPr>
        <w:t>1</w:t>
      </w:r>
      <w:r w:rsidRPr="0013256A">
        <w:rPr>
          <w:rFonts w:ascii="Baskerville" w:hAnsi="Baskerville"/>
        </w:rPr>
        <w:t>)(</w:t>
      </w:r>
      <w:proofErr w:type="gramEnd"/>
      <w:r w:rsidRPr="0013256A">
        <w:rPr>
          <w:rFonts w:ascii="Baskerville" w:hAnsi="Baskerville"/>
        </w:rPr>
        <w:t>solvent)</w:t>
      </w:r>
      <w:r w:rsidRPr="0013256A">
        <w:rPr>
          <w:rFonts w:ascii="Baskerville" w:hAnsi="Baskerville"/>
          <w:vertAlign w:val="subscript"/>
        </w:rPr>
        <w:t>2</w:t>
      </w:r>
      <w:r w:rsidRPr="0013256A">
        <w:rPr>
          <w:rFonts w:ascii="Baskerville" w:hAnsi="Baskerville"/>
        </w:rPr>
        <w:t>]</w:t>
      </w:r>
      <w:r w:rsidRPr="0013256A">
        <w:rPr>
          <w:rFonts w:ascii="Baskerville" w:hAnsi="Baskerville"/>
          <w:vertAlign w:val="superscript"/>
        </w:rPr>
        <w:t>+</w:t>
      </w:r>
      <w:r w:rsidRPr="0013256A">
        <w:rPr>
          <w:rFonts w:ascii="Baskerville" w:hAnsi="Baskerville"/>
        </w:rPr>
        <w:t xml:space="preserve"> complexes </w:t>
      </w:r>
      <w:r w:rsidRPr="0013256A">
        <w:rPr>
          <w:rFonts w:ascii="Baskerville" w:hAnsi="Baskerville"/>
          <w:b/>
          <w:bCs/>
        </w:rPr>
        <w:t>4</w:t>
      </w:r>
      <w:r w:rsidRPr="0013256A">
        <w:rPr>
          <w:rFonts w:ascii="Baskerville" w:hAnsi="Baskerville"/>
        </w:rPr>
        <w:t>, when solvent = pyridine, water, and acetonitrile.  Please provide a brief explanation to support your answer.</w:t>
      </w:r>
    </w:p>
    <w:p w14:paraId="64095D26" w14:textId="77777777" w:rsidR="00BE3291" w:rsidRPr="0013256A" w:rsidRDefault="00BE3291" w:rsidP="00BE3291">
      <w:pPr>
        <w:pStyle w:val="ListParagraph"/>
        <w:rPr>
          <w:rFonts w:ascii="Baskerville" w:hAnsi="Baskerville"/>
        </w:rPr>
      </w:pPr>
    </w:p>
    <w:p w14:paraId="56475CA9" w14:textId="77777777" w:rsidR="00BE3291" w:rsidRPr="0013256A" w:rsidRDefault="00BE3291" w:rsidP="00BE3291">
      <w:pPr>
        <w:pStyle w:val="ListParagraph"/>
        <w:numPr>
          <w:ilvl w:val="0"/>
          <w:numId w:val="1"/>
        </w:numPr>
        <w:rPr>
          <w:rFonts w:ascii="Baskerville" w:hAnsi="Baskerville"/>
        </w:rPr>
      </w:pPr>
      <w:r w:rsidRPr="0013256A">
        <w:rPr>
          <w:rFonts w:ascii="Baskerville" w:hAnsi="Baskerville"/>
        </w:rPr>
        <w:t xml:space="preserve">The cobalt complexes and intermediates from the proposed catalytic cycle exhibit different colors.  For example, the Co complex </w:t>
      </w:r>
      <w:r w:rsidRPr="0013256A">
        <w:rPr>
          <w:rFonts w:ascii="Baskerville" w:hAnsi="Baskerville"/>
          <w:b/>
          <w:bCs/>
        </w:rPr>
        <w:t>1</w:t>
      </w:r>
      <w:r w:rsidRPr="0013256A">
        <w:rPr>
          <w:rFonts w:ascii="Baskerville" w:hAnsi="Baskerville"/>
        </w:rPr>
        <w:t xml:space="preserve"> [Co(L</w:t>
      </w:r>
      <w:proofErr w:type="gramStart"/>
      <w:r w:rsidRPr="0013256A">
        <w:rPr>
          <w:rFonts w:ascii="Baskerville" w:hAnsi="Baskerville"/>
          <w:vertAlign w:val="superscript"/>
        </w:rPr>
        <w:t>1</w:t>
      </w:r>
      <w:r w:rsidRPr="0013256A">
        <w:rPr>
          <w:rFonts w:ascii="Baskerville" w:hAnsi="Baskerville"/>
        </w:rPr>
        <w:t>)(</w:t>
      </w:r>
      <w:proofErr w:type="gramEnd"/>
      <w:r w:rsidRPr="0013256A">
        <w:rPr>
          <w:rFonts w:ascii="Baskerville" w:hAnsi="Baskerville"/>
        </w:rPr>
        <w:t>acetone)</w:t>
      </w:r>
      <w:r w:rsidRPr="0013256A">
        <w:rPr>
          <w:rFonts w:ascii="Baskerville" w:hAnsi="Baskerville"/>
          <w:vertAlign w:val="subscript"/>
        </w:rPr>
        <w:t>2</w:t>
      </w:r>
      <w:r w:rsidRPr="0013256A">
        <w:rPr>
          <w:rFonts w:ascii="Baskerville" w:hAnsi="Baskerville"/>
        </w:rPr>
        <w:t>][BF</w:t>
      </w:r>
      <w:r w:rsidRPr="0013256A">
        <w:rPr>
          <w:rFonts w:ascii="Baskerville" w:hAnsi="Baskerville"/>
          <w:vertAlign w:val="subscript"/>
        </w:rPr>
        <w:t>4</w:t>
      </w:r>
      <w:r w:rsidRPr="0013256A">
        <w:rPr>
          <w:rFonts w:ascii="Baskerville" w:hAnsi="Baskerville"/>
        </w:rPr>
        <w:t xml:space="preserve">] is orange, while the Co complex </w:t>
      </w:r>
      <w:r w:rsidRPr="0013256A">
        <w:rPr>
          <w:rFonts w:ascii="Baskerville" w:hAnsi="Baskerville"/>
          <w:b/>
          <w:bCs/>
        </w:rPr>
        <w:t>4</w:t>
      </w:r>
      <w:r w:rsidRPr="0013256A">
        <w:rPr>
          <w:rFonts w:ascii="Baskerville" w:hAnsi="Baskerville"/>
        </w:rPr>
        <w:t xml:space="preserve"> [Co(L</w:t>
      </w:r>
      <w:r w:rsidRPr="0013256A">
        <w:rPr>
          <w:rFonts w:ascii="Baskerville" w:hAnsi="Baskerville"/>
          <w:vertAlign w:val="superscript"/>
        </w:rPr>
        <w:t>1</w:t>
      </w:r>
      <w:r w:rsidRPr="0013256A">
        <w:rPr>
          <w:rFonts w:ascii="Baskerville" w:hAnsi="Baskerville"/>
        </w:rPr>
        <w:t>)(pyridine)</w:t>
      </w:r>
      <w:r w:rsidRPr="0013256A">
        <w:rPr>
          <w:rFonts w:ascii="Baskerville" w:hAnsi="Baskerville"/>
          <w:vertAlign w:val="subscript"/>
        </w:rPr>
        <w:t>2</w:t>
      </w:r>
      <w:r w:rsidRPr="0013256A">
        <w:rPr>
          <w:rFonts w:ascii="Baskerville" w:hAnsi="Baskerville"/>
        </w:rPr>
        <w:t>][BF</w:t>
      </w:r>
      <w:r w:rsidRPr="0013256A">
        <w:rPr>
          <w:rFonts w:ascii="Baskerville" w:hAnsi="Baskerville"/>
          <w:vertAlign w:val="subscript"/>
        </w:rPr>
        <w:t>4</w:t>
      </w:r>
      <w:r w:rsidRPr="0013256A">
        <w:rPr>
          <w:rFonts w:ascii="Baskerville" w:hAnsi="Baskerville"/>
        </w:rPr>
        <w:t>] is amber in color.  Please justify the observed colors of these two complexes.  Also, please estimate the value of the ∆</w:t>
      </w:r>
      <w:proofErr w:type="gramStart"/>
      <w:r w:rsidRPr="0013256A">
        <w:rPr>
          <w:rFonts w:ascii="Baskerville" w:hAnsi="Baskerville"/>
          <w:vertAlign w:val="subscript"/>
        </w:rPr>
        <w:t xml:space="preserve">oct  </w:t>
      </w:r>
      <w:r w:rsidRPr="0013256A">
        <w:rPr>
          <w:rFonts w:ascii="Baskerville" w:hAnsi="Baskerville"/>
        </w:rPr>
        <w:t>in</w:t>
      </w:r>
      <w:proofErr w:type="gramEnd"/>
      <w:r w:rsidRPr="0013256A">
        <w:rPr>
          <w:rFonts w:ascii="Baskerville" w:hAnsi="Baskerville"/>
        </w:rPr>
        <w:t xml:space="preserve"> cm</w:t>
      </w:r>
      <w:r w:rsidRPr="0013256A">
        <w:rPr>
          <w:rFonts w:ascii="Baskerville" w:hAnsi="Baskerville"/>
          <w:vertAlign w:val="superscript"/>
        </w:rPr>
        <w:t>–1</w:t>
      </w:r>
      <w:r w:rsidRPr="0013256A">
        <w:rPr>
          <w:rFonts w:ascii="Baskerville" w:hAnsi="Baskerville"/>
          <w:vertAlign w:val="subscript"/>
        </w:rPr>
        <w:t xml:space="preserve"> </w:t>
      </w:r>
      <w:r w:rsidRPr="0013256A">
        <w:rPr>
          <w:rFonts w:ascii="Baskerville" w:hAnsi="Baskerville"/>
        </w:rPr>
        <w:t>for both complexes.</w:t>
      </w:r>
    </w:p>
    <w:p w14:paraId="0ABAA1C7" w14:textId="77777777" w:rsidR="00BE3291" w:rsidRPr="0013256A" w:rsidRDefault="00BE3291" w:rsidP="00BE3291">
      <w:pPr>
        <w:rPr>
          <w:rFonts w:ascii="Baskerville" w:hAnsi="Baskerville"/>
        </w:rPr>
      </w:pPr>
    </w:p>
    <w:p w14:paraId="34DD15BA" w14:textId="77777777" w:rsidR="00BE3291" w:rsidRPr="0013256A" w:rsidRDefault="00BE3291" w:rsidP="00BE3291">
      <w:pPr>
        <w:pStyle w:val="ListParagraph"/>
        <w:numPr>
          <w:ilvl w:val="0"/>
          <w:numId w:val="1"/>
        </w:numPr>
        <w:rPr>
          <w:rFonts w:ascii="Baskerville" w:hAnsi="Baskerville"/>
        </w:rPr>
      </w:pPr>
      <w:r w:rsidRPr="0013256A">
        <w:rPr>
          <w:rFonts w:ascii="Baskerville" w:hAnsi="Baskerville"/>
        </w:rPr>
        <w:t xml:space="preserve">The authors indicate that the cobalt catalysts suffer deactivation due to the generated CO during the catalytic cycle.  Please briefly explain how CO can deactivate the catalyst. </w:t>
      </w:r>
    </w:p>
    <w:p w14:paraId="20975085" w14:textId="77777777" w:rsidR="00BE3291" w:rsidRPr="0013256A" w:rsidRDefault="00BE3291" w:rsidP="00BE3291">
      <w:pPr>
        <w:rPr>
          <w:rFonts w:ascii="Baskerville" w:hAnsi="Baskerville"/>
        </w:rPr>
      </w:pPr>
    </w:p>
    <w:p w14:paraId="67F8D0E3" w14:textId="77777777" w:rsidR="00BE3291" w:rsidRPr="0013256A" w:rsidRDefault="00BE3291" w:rsidP="00BE3291">
      <w:pPr>
        <w:pStyle w:val="ListParagraph"/>
        <w:numPr>
          <w:ilvl w:val="0"/>
          <w:numId w:val="1"/>
        </w:numPr>
        <w:rPr>
          <w:rFonts w:ascii="Baskerville" w:hAnsi="Baskerville"/>
        </w:rPr>
      </w:pPr>
      <w:r w:rsidRPr="0013256A">
        <w:rPr>
          <w:rFonts w:ascii="Baskerville" w:hAnsi="Baskerville"/>
        </w:rPr>
        <w:t>Please discuss the effect of the substituents of the pendant amine groups on the peak potentials observed from the CV experiments and on the turnover numbers.  In addition, please discuss how the authors used this information to establish the proposed catalytic cycle (Figure 3).</w:t>
      </w:r>
    </w:p>
    <w:p w14:paraId="4F7274BF" w14:textId="77777777" w:rsidR="00BE3291" w:rsidRPr="0013256A" w:rsidRDefault="00BE3291" w:rsidP="00BE3291">
      <w:pPr>
        <w:pStyle w:val="ListParagraph"/>
        <w:rPr>
          <w:rFonts w:ascii="Baskerville" w:hAnsi="Baskerville"/>
        </w:rPr>
      </w:pPr>
    </w:p>
    <w:p w14:paraId="74F5ACE2" w14:textId="77777777" w:rsidR="00BE3291" w:rsidRPr="0013256A" w:rsidRDefault="00BE3291" w:rsidP="00BE3291">
      <w:pPr>
        <w:pStyle w:val="ListParagraph"/>
        <w:numPr>
          <w:ilvl w:val="0"/>
          <w:numId w:val="1"/>
        </w:numPr>
        <w:rPr>
          <w:rFonts w:ascii="Baskerville" w:hAnsi="Baskerville"/>
        </w:rPr>
      </w:pPr>
      <w:r w:rsidRPr="0013256A">
        <w:rPr>
          <w:rFonts w:ascii="Baskerville" w:hAnsi="Baskerville"/>
        </w:rPr>
        <w:t xml:space="preserve">The cobalt complex </w:t>
      </w:r>
      <w:r w:rsidRPr="0013256A">
        <w:rPr>
          <w:rFonts w:ascii="Baskerville" w:hAnsi="Baskerville"/>
          <w:b/>
          <w:bCs/>
        </w:rPr>
        <w:t>1</w:t>
      </w:r>
      <w:r w:rsidRPr="0013256A">
        <w:rPr>
          <w:rFonts w:ascii="Baskerville" w:hAnsi="Baskerville"/>
        </w:rPr>
        <w:t xml:space="preserve"> (C</w:t>
      </w:r>
      <w:r w:rsidRPr="0013256A">
        <w:rPr>
          <w:rFonts w:ascii="Baskerville" w:hAnsi="Baskerville"/>
          <w:vertAlign w:val="subscript"/>
        </w:rPr>
        <w:t>26</w:t>
      </w:r>
      <w:r w:rsidRPr="0013256A">
        <w:rPr>
          <w:rFonts w:ascii="Baskerville" w:hAnsi="Baskerville"/>
        </w:rPr>
        <w:t>H</w:t>
      </w:r>
      <w:r w:rsidRPr="0013256A">
        <w:rPr>
          <w:rFonts w:ascii="Baskerville" w:hAnsi="Baskerville"/>
          <w:vertAlign w:val="subscript"/>
        </w:rPr>
        <w:t>28</w:t>
      </w:r>
      <w:r w:rsidRPr="0013256A">
        <w:rPr>
          <w:rFonts w:ascii="Baskerville" w:hAnsi="Baskerville"/>
        </w:rPr>
        <w:t>Cl</w:t>
      </w:r>
      <w:r w:rsidRPr="0013256A">
        <w:rPr>
          <w:rFonts w:ascii="Baskerville" w:hAnsi="Baskerville"/>
          <w:vertAlign w:val="subscript"/>
        </w:rPr>
        <w:t>2</w:t>
      </w:r>
      <w:r w:rsidRPr="0013256A">
        <w:rPr>
          <w:rFonts w:ascii="Baskerville" w:hAnsi="Baskerville"/>
        </w:rPr>
        <w:t>CoN</w:t>
      </w:r>
      <w:r w:rsidRPr="0013256A">
        <w:rPr>
          <w:rFonts w:ascii="Baskerville" w:hAnsi="Baskerville"/>
          <w:vertAlign w:val="subscript"/>
        </w:rPr>
        <w:t>8</w:t>
      </w:r>
      <w:r w:rsidRPr="0013256A">
        <w:rPr>
          <w:rFonts w:ascii="Baskerville" w:hAnsi="Baskerville"/>
        </w:rPr>
        <w:t>O</w:t>
      </w:r>
      <w:r w:rsidRPr="0013256A">
        <w:rPr>
          <w:rFonts w:ascii="Baskerville" w:hAnsi="Baskerville"/>
          <w:vertAlign w:val="subscript"/>
        </w:rPr>
        <w:t>10</w:t>
      </w:r>
      <w:r w:rsidRPr="0013256A">
        <w:rPr>
          <w:rFonts w:ascii="Baskerville" w:hAnsi="Baskerville"/>
        </w:rPr>
        <w:t xml:space="preserve">) crystallizes in a tetragonal unit cell (a = b </w:t>
      </w:r>
      <w:r w:rsidRPr="00466EB9">
        <w:rPr>
          <w:rFonts w:ascii="Baskerville" w:hAnsi="Baskerville"/>
        </w:rPr>
        <w:sym w:font="Symbol" w:char="F0B9"/>
      </w:r>
      <w:r w:rsidRPr="00466EB9">
        <w:rPr>
          <w:rFonts w:ascii="Baskerville" w:hAnsi="Baskerville"/>
        </w:rPr>
        <w:t xml:space="preserve"> c, and </w:t>
      </w:r>
      <w:r w:rsidRPr="00466EB9">
        <w:rPr>
          <w:rFonts w:ascii="Baskerville" w:hAnsi="Baskerville"/>
          <w:i/>
          <w:iCs/>
        </w:rPr>
        <w:sym w:font="Symbol" w:char="F061"/>
      </w:r>
      <w:r w:rsidRPr="00466EB9">
        <w:rPr>
          <w:rFonts w:ascii="Baskerville" w:hAnsi="Baskerville"/>
        </w:rPr>
        <w:t xml:space="preserve"> = </w:t>
      </w:r>
      <w:r w:rsidRPr="00466EB9">
        <w:rPr>
          <w:rFonts w:ascii="Baskerville" w:hAnsi="Baskerville"/>
          <w:i/>
          <w:iCs/>
        </w:rPr>
        <w:sym w:font="Symbol" w:char="F062"/>
      </w:r>
      <w:r w:rsidRPr="00466EB9">
        <w:rPr>
          <w:rFonts w:ascii="Baskerville" w:hAnsi="Baskerville"/>
        </w:rPr>
        <w:t xml:space="preserve"> = </w:t>
      </w:r>
      <w:r w:rsidRPr="00466EB9">
        <w:rPr>
          <w:rFonts w:ascii="Baskerville" w:hAnsi="Baskerville"/>
          <w:i/>
          <w:iCs/>
        </w:rPr>
        <w:sym w:font="Symbol" w:char="F067"/>
      </w:r>
      <w:r w:rsidRPr="00466EB9">
        <w:rPr>
          <w:rFonts w:ascii="Baskerville" w:hAnsi="Baskerville"/>
        </w:rPr>
        <w:t xml:space="preserve"> = 90°) with the density of 1.579 g/cm</w:t>
      </w:r>
      <w:r w:rsidRPr="00903E2A">
        <w:rPr>
          <w:rFonts w:ascii="Baskerville" w:hAnsi="Baskerville"/>
          <w:vertAlign w:val="superscript"/>
        </w:rPr>
        <w:t>3</w:t>
      </w:r>
      <w:r w:rsidRPr="00903E2A">
        <w:rPr>
          <w:rFonts w:ascii="Baskerville" w:hAnsi="Baskerville"/>
        </w:rPr>
        <w:t xml:space="preserve">.  The unit cell has the cell edge lengths as follows: a = 11.4612 Å; b = 11.4612 Å; c = 23.7694 Å.  Please </w:t>
      </w:r>
      <w:r w:rsidRPr="0013256A">
        <w:rPr>
          <w:rFonts w:ascii="Baskerville" w:hAnsi="Baskerville"/>
        </w:rPr>
        <w:t>perform a calculation to determine the number of cobalt complexes that are contained in one unit cell.</w:t>
      </w:r>
    </w:p>
    <w:p w14:paraId="0FF650B7" w14:textId="77777777" w:rsidR="00BE3291" w:rsidRPr="0013256A" w:rsidRDefault="00BE3291" w:rsidP="00BE3291">
      <w:pPr>
        <w:pStyle w:val="ListParagraph"/>
        <w:rPr>
          <w:rFonts w:ascii="Baskerville" w:hAnsi="Baskerville"/>
        </w:rPr>
      </w:pPr>
    </w:p>
    <w:p w14:paraId="778344A2" w14:textId="77777777" w:rsidR="00BE3291" w:rsidRPr="0013256A" w:rsidRDefault="00BE3291" w:rsidP="00BE3291">
      <w:pPr>
        <w:pStyle w:val="ListParagraph"/>
        <w:numPr>
          <w:ilvl w:val="0"/>
          <w:numId w:val="1"/>
        </w:numPr>
        <w:rPr>
          <w:rFonts w:ascii="Baskerville" w:hAnsi="Baskerville"/>
        </w:rPr>
      </w:pPr>
      <w:r w:rsidRPr="0013256A">
        <w:rPr>
          <w:rFonts w:ascii="Baskerville" w:hAnsi="Baskerville"/>
        </w:rPr>
        <w:t xml:space="preserve">The </w:t>
      </w:r>
      <w:proofErr w:type="spellStart"/>
      <w:proofErr w:type="gramStart"/>
      <w:r w:rsidRPr="0013256A">
        <w:rPr>
          <w:rFonts w:ascii="Baskerville" w:hAnsi="Baskerville"/>
        </w:rPr>
        <w:t>azacalix</w:t>
      </w:r>
      <w:proofErr w:type="spellEnd"/>
      <w:r w:rsidRPr="0013256A">
        <w:rPr>
          <w:rFonts w:ascii="Baskerville" w:hAnsi="Baskerville"/>
        </w:rPr>
        <w:t>[</w:t>
      </w:r>
      <w:proofErr w:type="gramEnd"/>
      <w:r w:rsidRPr="0013256A">
        <w:rPr>
          <w:rFonts w:ascii="Baskerville" w:hAnsi="Baskerville"/>
        </w:rPr>
        <w:t>4](2,6)pyridine ligands adopt a saddle conformation with D</w:t>
      </w:r>
      <w:r w:rsidRPr="0013256A">
        <w:rPr>
          <w:rFonts w:ascii="Baskerville" w:hAnsi="Baskerville"/>
          <w:vertAlign w:val="subscript"/>
        </w:rPr>
        <w:t>2d</w:t>
      </w:r>
      <w:r w:rsidRPr="0013256A">
        <w:rPr>
          <w:rFonts w:ascii="Baskerville" w:hAnsi="Baskerville"/>
        </w:rPr>
        <w:t xml:space="preserve"> symmetry.  Please locate every symmetry operation of this ligand.</w:t>
      </w:r>
    </w:p>
    <w:p w14:paraId="01ECF7FC" w14:textId="77777777" w:rsidR="00BE3291" w:rsidRPr="0013256A" w:rsidRDefault="00BE3291" w:rsidP="00BE3291">
      <w:pPr>
        <w:rPr>
          <w:rFonts w:ascii="Baskerville" w:hAnsi="Baskerville"/>
        </w:rPr>
      </w:pPr>
    </w:p>
    <w:p w14:paraId="7AF23F35" w14:textId="77777777" w:rsidR="00BE3291" w:rsidRPr="0013256A" w:rsidRDefault="00BE3291" w:rsidP="00BE3291">
      <w:pPr>
        <w:rPr>
          <w:rFonts w:ascii="Baskerville" w:hAnsi="Baskerville"/>
        </w:rPr>
      </w:pPr>
    </w:p>
    <w:p w14:paraId="3A6FCB18" w14:textId="77777777" w:rsidR="00BE3291" w:rsidRPr="0013256A" w:rsidRDefault="00BE3291" w:rsidP="00BE3291">
      <w:pPr>
        <w:rPr>
          <w:rFonts w:ascii="Baskerville" w:hAnsi="Baskerville"/>
        </w:rPr>
      </w:pPr>
      <w:r w:rsidRPr="0013256A">
        <w:rPr>
          <w:rFonts w:ascii="Baskerville" w:hAnsi="Baskerville"/>
          <w:b/>
          <w:bCs/>
        </w:rPr>
        <w:t>Reference</w:t>
      </w:r>
    </w:p>
    <w:p w14:paraId="6DCF256B" w14:textId="77777777" w:rsidR="00BE3291" w:rsidRPr="00466EB9" w:rsidRDefault="00BE3291" w:rsidP="00BE3291">
      <w:pPr>
        <w:pStyle w:val="ListParagraph"/>
        <w:numPr>
          <w:ilvl w:val="0"/>
          <w:numId w:val="4"/>
        </w:numPr>
        <w:rPr>
          <w:rFonts w:ascii="Baskerville" w:hAnsi="Baskerville"/>
        </w:rPr>
      </w:pPr>
      <w:proofErr w:type="spellStart"/>
      <w:r w:rsidRPr="00466EB9">
        <w:rPr>
          <w:rFonts w:ascii="Baskerville" w:hAnsi="Baskerville"/>
        </w:rPr>
        <w:t>Munakata</w:t>
      </w:r>
      <w:proofErr w:type="spellEnd"/>
      <w:r w:rsidRPr="00466EB9">
        <w:rPr>
          <w:rFonts w:ascii="Baskerville" w:hAnsi="Baskerville"/>
        </w:rPr>
        <w:t xml:space="preserve">, M.; Kitagawa, S.; </w:t>
      </w:r>
      <w:proofErr w:type="spellStart"/>
      <w:r w:rsidRPr="00466EB9">
        <w:rPr>
          <w:rFonts w:ascii="Baskerville" w:hAnsi="Baskerville"/>
        </w:rPr>
        <w:t>Miyazima</w:t>
      </w:r>
      <w:proofErr w:type="spellEnd"/>
      <w:r w:rsidRPr="00466EB9">
        <w:rPr>
          <w:rFonts w:ascii="Baskerville" w:hAnsi="Baskerville"/>
        </w:rPr>
        <w:t xml:space="preserve">, M. </w:t>
      </w:r>
      <w:proofErr w:type="spellStart"/>
      <w:r w:rsidRPr="00466EB9">
        <w:rPr>
          <w:rFonts w:ascii="Baskerville" w:hAnsi="Baskerville"/>
          <w:i/>
          <w:iCs/>
        </w:rPr>
        <w:t>Inorg</w:t>
      </w:r>
      <w:proofErr w:type="spellEnd"/>
      <w:r w:rsidRPr="00466EB9">
        <w:rPr>
          <w:rFonts w:ascii="Baskerville" w:hAnsi="Baskerville"/>
          <w:i/>
          <w:iCs/>
        </w:rPr>
        <w:t>. Chem.</w:t>
      </w:r>
      <w:r w:rsidRPr="00466EB9">
        <w:rPr>
          <w:rFonts w:ascii="Baskerville" w:hAnsi="Baskerville"/>
          <w:b/>
          <w:bCs/>
        </w:rPr>
        <w:t xml:space="preserve"> 1985</w:t>
      </w:r>
      <w:r w:rsidRPr="00466EB9">
        <w:rPr>
          <w:rFonts w:ascii="Baskerville" w:hAnsi="Baskerville"/>
        </w:rPr>
        <w:t xml:space="preserve">, </w:t>
      </w:r>
      <w:r w:rsidRPr="00466EB9">
        <w:rPr>
          <w:rFonts w:ascii="Baskerville" w:hAnsi="Baskerville"/>
          <w:i/>
          <w:iCs/>
        </w:rPr>
        <w:t>24</w:t>
      </w:r>
      <w:r w:rsidRPr="00466EB9">
        <w:rPr>
          <w:rFonts w:ascii="Baskerville" w:hAnsi="Baskerville"/>
        </w:rPr>
        <w:t>, 1638–1643.</w:t>
      </w:r>
    </w:p>
    <w:p w14:paraId="3EDB6192" w14:textId="2B10E411" w:rsidR="00BE3291" w:rsidRPr="00121F31" w:rsidRDefault="00121F31" w:rsidP="00121F31">
      <w:pPr>
        <w:ind w:firstLine="720"/>
        <w:rPr>
          <w:rFonts w:ascii="Baskerville" w:hAnsi="Baskerville"/>
        </w:rPr>
      </w:pPr>
      <w:hyperlink r:id="rId6" w:history="1">
        <w:r w:rsidRPr="00871FE8">
          <w:rPr>
            <w:rStyle w:val="Hyperlink"/>
            <w:rFonts w:ascii="Baskerville" w:hAnsi="Baskerville"/>
          </w:rPr>
          <w:t>https://doi.org/10.1021/ic002</w:t>
        </w:r>
        <w:r w:rsidRPr="00871FE8">
          <w:rPr>
            <w:rStyle w:val="Hyperlink"/>
            <w:rFonts w:ascii="Baskerville" w:hAnsi="Baskerville"/>
          </w:rPr>
          <w:t>0</w:t>
        </w:r>
        <w:r w:rsidRPr="00871FE8">
          <w:rPr>
            <w:rStyle w:val="Hyperlink"/>
            <w:rFonts w:ascii="Baskerville" w:hAnsi="Baskerville"/>
          </w:rPr>
          <w:t>5a009</w:t>
        </w:r>
      </w:hyperlink>
    </w:p>
    <w:p w14:paraId="013B06DE" w14:textId="77777777" w:rsidR="00CC074E" w:rsidRPr="00BE3291" w:rsidRDefault="00CC074E" w:rsidP="00BE3291"/>
    <w:sectPr w:rsidR="00CC074E" w:rsidRPr="00BE3291" w:rsidSect="00BB6B47">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skerville">
    <w:altName w:val="Baskerville"/>
    <w:panose1 w:val="02020502070401020303"/>
    <w:charset w:val="00"/>
    <w:family w:val="roman"/>
    <w:pitch w:val="variable"/>
    <w:sig w:usb0="80000067" w:usb1="02000000" w:usb2="00000000" w:usb3="00000000" w:csb0="0000019F"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B1EB5" w14:textId="77777777" w:rsidR="00623389" w:rsidRPr="00965B4E" w:rsidRDefault="00121F31" w:rsidP="00623389">
    <w:pPr>
      <w:jc w:val="both"/>
      <w:rPr>
        <w:rFonts w:ascii="Baskerville" w:eastAsia="Times New Roman" w:hAnsi="Baskerville" w:cstheme="minorHAnsi"/>
        <w:szCs w:val="24"/>
      </w:rPr>
    </w:pPr>
    <w:r w:rsidRPr="00965B4E">
      <w:rPr>
        <w:rFonts w:ascii="Baskerville" w:eastAsia="Times New Roman" w:hAnsi="Baskerville" w:cstheme="minorHAnsi"/>
        <w:color w:val="3B3B3B"/>
        <w:szCs w:val="24"/>
        <w:shd w:val="clear" w:color="auto" w:fill="FFFFFF"/>
      </w:rPr>
      <w:t xml:space="preserve">Created by </w:t>
    </w:r>
    <w:proofErr w:type="spellStart"/>
    <w:r w:rsidRPr="00965B4E">
      <w:rPr>
        <w:rFonts w:ascii="Baskerville" w:eastAsia="Times New Roman" w:hAnsi="Baskerville" w:cstheme="minorHAnsi"/>
        <w:color w:val="3B3B3B"/>
        <w:szCs w:val="24"/>
        <w:shd w:val="clear" w:color="auto" w:fill="FFFFFF"/>
      </w:rPr>
      <w:t>Todsapon</w:t>
    </w:r>
    <w:proofErr w:type="spellEnd"/>
    <w:r w:rsidRPr="00965B4E">
      <w:rPr>
        <w:rFonts w:ascii="Baskerville" w:eastAsia="Times New Roman" w:hAnsi="Baskerville" w:cstheme="minorHAnsi"/>
        <w:color w:val="3B3B3B"/>
        <w:szCs w:val="24"/>
        <w:shd w:val="clear" w:color="auto" w:fill="FFFFFF"/>
      </w:rPr>
      <w:t xml:space="preserve"> </w:t>
    </w:r>
    <w:proofErr w:type="spellStart"/>
    <w:r w:rsidRPr="00965B4E">
      <w:rPr>
        <w:rFonts w:ascii="Baskerville" w:eastAsia="Times New Roman" w:hAnsi="Baskerville" w:cstheme="minorHAnsi"/>
        <w:color w:val="3B3B3B"/>
        <w:szCs w:val="24"/>
        <w:shd w:val="clear" w:color="auto" w:fill="FFFFFF"/>
      </w:rPr>
      <w:t>Thananatthanachon</w:t>
    </w:r>
    <w:proofErr w:type="spellEnd"/>
    <w:r w:rsidRPr="00965B4E">
      <w:rPr>
        <w:rFonts w:ascii="Baskerville" w:eastAsia="Times New Roman" w:hAnsi="Baskerville" w:cstheme="minorHAnsi"/>
        <w:color w:val="3B3B3B"/>
        <w:szCs w:val="24"/>
        <w:shd w:val="clear" w:color="auto" w:fill="FFFFFF"/>
      </w:rPr>
      <w:t xml:space="preserve">, The University of Evansville, tt92@evansville.edu and posted on </w:t>
    </w:r>
    <w:proofErr w:type="spellStart"/>
    <w:r w:rsidRPr="00965B4E">
      <w:rPr>
        <w:rFonts w:ascii="Baskerville" w:eastAsia="Times New Roman" w:hAnsi="Baskerville" w:cstheme="minorHAnsi"/>
        <w:color w:val="3B3B3B"/>
        <w:szCs w:val="24"/>
        <w:shd w:val="clear" w:color="auto" w:fill="FFFFFF"/>
      </w:rPr>
      <w:t>VIPEr</w:t>
    </w:r>
    <w:proofErr w:type="spellEnd"/>
    <w:r w:rsidRPr="00965B4E">
      <w:rPr>
        <w:rFonts w:ascii="Baskerville" w:eastAsia="Times New Roman" w:hAnsi="Baskerville" w:cstheme="minorHAnsi"/>
        <w:color w:val="3B3B3B"/>
        <w:szCs w:val="24"/>
        <w:shd w:val="clear" w:color="auto" w:fill="FFFFFF"/>
      </w:rPr>
      <w:t> </w:t>
    </w:r>
    <w:hyperlink r:id="rId1" w:history="1">
      <w:r w:rsidRPr="00965B4E">
        <w:rPr>
          <w:rFonts w:ascii="Baskerville" w:eastAsia="Times New Roman" w:hAnsi="Baskerville" w:cstheme="minorHAnsi"/>
          <w:color w:val="217E2C"/>
          <w:szCs w:val="24"/>
          <w:u w:val="single"/>
          <w:shd w:val="clear" w:color="auto" w:fill="FFFFFF"/>
        </w:rPr>
        <w:t>(www.ionicviper.org)</w:t>
      </w:r>
    </w:hyperlink>
    <w:r w:rsidRPr="00965B4E">
      <w:rPr>
        <w:rFonts w:ascii="Baskerville" w:eastAsia="Times New Roman" w:hAnsi="Baskerville" w:cstheme="minorHAnsi"/>
        <w:color w:val="3B3B3B"/>
        <w:szCs w:val="24"/>
        <w:shd w:val="clear" w:color="auto" w:fill="FFFFFF"/>
      </w:rPr>
      <w:t> on [0</w:t>
    </w:r>
    <w:r w:rsidRPr="00965B4E">
      <w:rPr>
        <w:rFonts w:ascii="Baskerville" w:eastAsia="Times New Roman" w:hAnsi="Baskerville" w:cstheme="minorHAnsi"/>
        <w:color w:val="3B3B3B"/>
        <w:szCs w:val="24"/>
        <w:shd w:val="clear" w:color="auto" w:fill="FFFFFF"/>
      </w:rPr>
      <w:t>3</w:t>
    </w:r>
    <w:r w:rsidRPr="00965B4E">
      <w:rPr>
        <w:rFonts w:ascii="Baskerville" w:eastAsia="Times New Roman" w:hAnsi="Baskerville" w:cstheme="minorHAnsi"/>
        <w:color w:val="3B3B3B"/>
        <w:szCs w:val="24"/>
        <w:shd w:val="clear" w:color="auto" w:fill="FFFFFF"/>
      </w:rPr>
      <w:t xml:space="preserve">/2021], Copyright </w:t>
    </w:r>
    <w:proofErr w:type="spellStart"/>
    <w:r w:rsidRPr="00965B4E">
      <w:rPr>
        <w:rFonts w:ascii="Baskerville" w:eastAsia="Times New Roman" w:hAnsi="Baskerville" w:cstheme="minorHAnsi"/>
        <w:color w:val="3B3B3B"/>
        <w:szCs w:val="24"/>
        <w:shd w:val="clear" w:color="auto" w:fill="FFFFFF"/>
      </w:rPr>
      <w:t>Todsapon</w:t>
    </w:r>
    <w:proofErr w:type="spellEnd"/>
    <w:r w:rsidRPr="00965B4E">
      <w:rPr>
        <w:rFonts w:ascii="Baskerville" w:eastAsia="Times New Roman" w:hAnsi="Baskerville" w:cstheme="minorHAnsi"/>
        <w:color w:val="3B3B3B"/>
        <w:szCs w:val="24"/>
        <w:shd w:val="clear" w:color="auto" w:fill="FFFFFF"/>
      </w:rPr>
      <w:t xml:space="preserve"> </w:t>
    </w:r>
    <w:proofErr w:type="spellStart"/>
    <w:r w:rsidRPr="00965B4E">
      <w:rPr>
        <w:rFonts w:ascii="Baskerville" w:eastAsia="Times New Roman" w:hAnsi="Baskerville" w:cstheme="minorHAnsi"/>
        <w:color w:val="3B3B3B"/>
        <w:szCs w:val="24"/>
        <w:shd w:val="clear" w:color="auto" w:fill="FFFFFF"/>
      </w:rPr>
      <w:t>Thananatthanachon</w:t>
    </w:r>
    <w:proofErr w:type="spellEnd"/>
    <w:r w:rsidRPr="00965B4E">
      <w:rPr>
        <w:rFonts w:ascii="Baskerville" w:eastAsia="Times New Roman" w:hAnsi="Baskerville" w:cstheme="minorHAnsi"/>
        <w:color w:val="3B3B3B"/>
        <w:szCs w:val="24"/>
        <w:shd w:val="clear" w:color="auto" w:fill="FFFFFF"/>
      </w:rPr>
      <w:t xml:space="preserve"> 2021. This work is licensed under the Creative Commons [name of licen</w:t>
    </w:r>
    <w:r w:rsidRPr="00965B4E">
      <w:rPr>
        <w:rFonts w:ascii="Baskerville" w:eastAsia="Times New Roman" w:hAnsi="Baskerville" w:cstheme="minorHAnsi"/>
        <w:color w:val="3B3B3B"/>
        <w:szCs w:val="24"/>
        <w:shd w:val="clear" w:color="auto" w:fill="FFFFFF"/>
      </w:rPr>
      <w:t>se you choose] License. To view a copy of this license: visit </w:t>
    </w:r>
    <w:hyperlink r:id="rId2" w:history="1">
      <w:r w:rsidRPr="00965B4E">
        <w:rPr>
          <w:rFonts w:ascii="Baskerville" w:eastAsia="Times New Roman" w:hAnsi="Baskerville" w:cstheme="minorHAnsi"/>
          <w:color w:val="217E2C"/>
          <w:szCs w:val="24"/>
          <w:u w:val="single"/>
          <w:shd w:val="clear" w:color="auto" w:fill="FFFFFF"/>
        </w:rPr>
        <w:t>http://creativecommons.org/about/license/</w:t>
      </w:r>
    </w:hyperlink>
  </w:p>
  <w:p w14:paraId="6F95DA1F" w14:textId="77777777" w:rsidR="00623389" w:rsidRPr="00965B4E" w:rsidRDefault="00121F31" w:rsidP="00623389">
    <w:pPr>
      <w:pStyle w:val="Header"/>
      <w:rPr>
        <w:rFonts w:ascii="Baskerville" w:hAnsi="Baskerville"/>
        <w:szCs w:val="24"/>
      </w:rPr>
    </w:pPr>
  </w:p>
  <w:p w14:paraId="62DDC554" w14:textId="77777777" w:rsidR="00623389" w:rsidRPr="00965B4E" w:rsidRDefault="00121F31">
    <w:pPr>
      <w:pStyle w:val="Header"/>
      <w:rPr>
        <w:rFonts w:ascii="Baskerville" w:hAnsi="Baskerville"/>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00512"/>
    <w:multiLevelType w:val="hybridMultilevel"/>
    <w:tmpl w:val="559EF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0447A"/>
    <w:multiLevelType w:val="hybridMultilevel"/>
    <w:tmpl w:val="A98C07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E4724"/>
    <w:multiLevelType w:val="hybridMultilevel"/>
    <w:tmpl w:val="BAC6E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F5B65"/>
    <w:multiLevelType w:val="hybridMultilevel"/>
    <w:tmpl w:val="8A486AB2"/>
    <w:lvl w:ilvl="0" w:tplc="73563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91"/>
    <w:rsid w:val="000C4494"/>
    <w:rsid w:val="000C5776"/>
    <w:rsid w:val="00121F31"/>
    <w:rsid w:val="00210DEA"/>
    <w:rsid w:val="00552DED"/>
    <w:rsid w:val="00BB6B47"/>
    <w:rsid w:val="00BE3291"/>
    <w:rsid w:val="00CC074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2AC2D0C2"/>
  <w15:chartTrackingRefBased/>
  <w15:docId w15:val="{4DD772BB-3D6D-7242-BF52-97DBC608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291"/>
    <w:pPr>
      <w:ind w:left="720"/>
      <w:contextualSpacing/>
    </w:pPr>
  </w:style>
  <w:style w:type="paragraph" w:styleId="Header">
    <w:name w:val="header"/>
    <w:basedOn w:val="Normal"/>
    <w:link w:val="HeaderChar"/>
    <w:uiPriority w:val="99"/>
    <w:unhideWhenUsed/>
    <w:rsid w:val="00BE3291"/>
    <w:pPr>
      <w:tabs>
        <w:tab w:val="center" w:pos="4680"/>
        <w:tab w:val="right" w:pos="9360"/>
      </w:tabs>
    </w:pPr>
  </w:style>
  <w:style w:type="character" w:customStyle="1" w:styleId="HeaderChar">
    <w:name w:val="Header Char"/>
    <w:basedOn w:val="DefaultParagraphFont"/>
    <w:link w:val="Header"/>
    <w:uiPriority w:val="99"/>
    <w:rsid w:val="00BE3291"/>
  </w:style>
  <w:style w:type="character" w:styleId="Hyperlink">
    <w:name w:val="Hyperlink"/>
    <w:basedOn w:val="DefaultParagraphFont"/>
    <w:uiPriority w:val="99"/>
    <w:unhideWhenUsed/>
    <w:rsid w:val="00BE3291"/>
    <w:rPr>
      <w:color w:val="0563C1" w:themeColor="hyperlink"/>
      <w:u w:val="single"/>
    </w:rPr>
  </w:style>
  <w:style w:type="character" w:styleId="FollowedHyperlink">
    <w:name w:val="FollowedHyperlink"/>
    <w:basedOn w:val="DefaultParagraphFont"/>
    <w:uiPriority w:val="99"/>
    <w:semiHidden/>
    <w:unhideWhenUsed/>
    <w:rsid w:val="00BE3291"/>
    <w:rPr>
      <w:color w:val="954F72" w:themeColor="followedHyperlink"/>
      <w:u w:val="single"/>
    </w:rPr>
  </w:style>
  <w:style w:type="character" w:styleId="UnresolvedMention">
    <w:name w:val="Unresolved Mention"/>
    <w:basedOn w:val="DefaultParagraphFont"/>
    <w:uiPriority w:val="99"/>
    <w:semiHidden/>
    <w:unhideWhenUsed/>
    <w:rsid w:val="00121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21/ic00205a009" TargetMode="External"/><Relationship Id="rId5" Type="http://schemas.openxmlformats.org/officeDocument/2006/relationships/hyperlink" Target="https://pubs.acs.org/doi/full/10.1021/jacs.6b01980"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Thananatthanachon, Todsapon</dc:creator>
  <cp:keywords/>
  <dc:description/>
  <cp:lastModifiedBy>Thananatthanachon, Todsapon</cp:lastModifiedBy>
  <cp:revision>2</cp:revision>
  <dcterms:created xsi:type="dcterms:W3CDTF">2021-04-01T14:25:00Z</dcterms:created>
  <dcterms:modified xsi:type="dcterms:W3CDTF">2021-04-01T15:23:00Z</dcterms:modified>
</cp:coreProperties>
</file>