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01054" w:rsidRDefault="00A01054"/>
    <w:p w14:paraId="00000002" w14:textId="77777777" w:rsidR="00A01054" w:rsidRDefault="008E1DD1">
      <w:pPr>
        <w:jc w:val="center"/>
        <w:rPr>
          <w:b/>
        </w:rPr>
      </w:pPr>
      <w:r>
        <w:rPr>
          <w:b/>
        </w:rPr>
        <w:t>The Synthesis and Electronic Structure of [NiX</w:t>
      </w:r>
      <w:r>
        <w:rPr>
          <w:b/>
          <w:vertAlign w:val="subscript"/>
        </w:rPr>
        <w:t>4</w:t>
      </w:r>
      <w:r>
        <w:rPr>
          <w:b/>
        </w:rPr>
        <w:t>]</w:t>
      </w:r>
      <w:r>
        <w:rPr>
          <w:b/>
          <w:vertAlign w:val="superscript"/>
        </w:rPr>
        <w:t>2-</w:t>
      </w:r>
      <w:r>
        <w:rPr>
          <w:b/>
        </w:rPr>
        <w:t xml:space="preserve"> Complexes and the Role of Crown Ethers in Inorganic Synthesis</w:t>
      </w:r>
    </w:p>
    <w:p w14:paraId="00000003" w14:textId="77777777" w:rsidR="00A01054" w:rsidRDefault="008E1DD1">
      <w:r>
        <w:t xml:space="preserve">This Literature Discussion is based on the following reference: Zheng, B.; Miranda, M. O.; </w:t>
      </w:r>
      <w:proofErr w:type="spellStart"/>
      <w:r>
        <w:t>DiPasquale</w:t>
      </w:r>
      <w:proofErr w:type="spellEnd"/>
      <w:r>
        <w:t xml:space="preserve">, A. G.; </w:t>
      </w:r>
      <w:proofErr w:type="spellStart"/>
      <w:r>
        <w:t>Golen</w:t>
      </w:r>
      <w:proofErr w:type="spellEnd"/>
      <w:r>
        <w:t xml:space="preserve">, J. A.; Rheingold, A. L.; </w:t>
      </w:r>
      <w:proofErr w:type="spellStart"/>
      <w:r>
        <w:t>Doerrer</w:t>
      </w:r>
      <w:proofErr w:type="spellEnd"/>
      <w:r>
        <w:t xml:space="preserve">, L. H. Synthesis and Electronic Spectra of Fluorinated </w:t>
      </w:r>
      <w:proofErr w:type="spellStart"/>
      <w:r>
        <w:t>Aryloxide</w:t>
      </w:r>
      <w:proofErr w:type="spellEnd"/>
      <w:r>
        <w:t xml:space="preserve"> and </w:t>
      </w:r>
      <w:proofErr w:type="spellStart"/>
      <w:r>
        <w:t>Alkoxide</w:t>
      </w:r>
      <w:proofErr w:type="spellEnd"/>
      <w:r>
        <w:t xml:space="preserve"> [NiX</w:t>
      </w:r>
      <w:r>
        <w:rPr>
          <w:vertAlign w:val="subscript"/>
        </w:rPr>
        <w:t>4</w:t>
      </w:r>
      <w:r>
        <w:t>]</w:t>
      </w:r>
      <w:r>
        <w:rPr>
          <w:vertAlign w:val="superscript"/>
        </w:rPr>
        <w:t>2-</w:t>
      </w:r>
      <w:r>
        <w:t xml:space="preserve"> Anions.  </w:t>
      </w:r>
      <w:proofErr w:type="spellStart"/>
      <w:r>
        <w:rPr>
          <w:i/>
        </w:rPr>
        <w:t>Inorg</w:t>
      </w:r>
      <w:proofErr w:type="spellEnd"/>
      <w:r>
        <w:rPr>
          <w:i/>
        </w:rPr>
        <w:t xml:space="preserve">. Chem. </w:t>
      </w:r>
      <w:r>
        <w:rPr>
          <w:b/>
        </w:rPr>
        <w:t>2009</w:t>
      </w:r>
      <w:r>
        <w:t xml:space="preserve">, </w:t>
      </w:r>
      <w:r>
        <w:rPr>
          <w:i/>
        </w:rPr>
        <w:t>48</w:t>
      </w:r>
      <w:r>
        <w:t>, 4274 - 4276. DOI: 10.1021/ic9003593</w:t>
      </w:r>
    </w:p>
    <w:p w14:paraId="00000004" w14:textId="77777777" w:rsidR="00A01054" w:rsidRDefault="00A01054">
      <w:pPr>
        <w:spacing w:after="0" w:line="240" w:lineRule="auto"/>
      </w:pPr>
    </w:p>
    <w:p w14:paraId="00000005" w14:textId="77777777" w:rsidR="00A01054" w:rsidRDefault="008E1DD1">
      <w:r>
        <w:t>Questions:</w:t>
      </w:r>
    </w:p>
    <w:p w14:paraId="00000006" w14:textId="77777777" w:rsidR="00A01054" w:rsidRDefault="008E1D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Define metathesis in your own words.</w:t>
      </w:r>
    </w:p>
    <w:p w14:paraId="00000007" w14:textId="77777777" w:rsidR="00A01054" w:rsidRDefault="008E1D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Consider the synthesis of complex </w:t>
      </w:r>
      <w:r>
        <w:rPr>
          <w:b/>
        </w:rPr>
        <w:t>4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in Scheme </w:t>
      </w:r>
      <w:r>
        <w:t>1</w:t>
      </w:r>
      <w:r>
        <w:rPr>
          <w:color w:val="000000"/>
        </w:rPr>
        <w:t xml:space="preserve">. Rewrite this reaction with all byproducts and proper balancing.  Do the same for </w:t>
      </w:r>
      <w:r>
        <w:t>complex</w:t>
      </w:r>
      <w:r>
        <w:rPr>
          <w:color w:val="000000"/>
        </w:rPr>
        <w:t xml:space="preserve"> </w:t>
      </w:r>
      <w:r>
        <w:rPr>
          <w:b/>
        </w:rPr>
        <w:t>5</w:t>
      </w:r>
      <w:r>
        <w:rPr>
          <w:color w:val="000000"/>
        </w:rPr>
        <w:t xml:space="preserve"> in Scheme </w:t>
      </w:r>
      <w:r>
        <w:t>2</w:t>
      </w:r>
      <w:r>
        <w:rPr>
          <w:color w:val="000000"/>
        </w:rPr>
        <w:t>.</w:t>
      </w:r>
    </w:p>
    <w:p w14:paraId="00000008" w14:textId="77777777" w:rsidR="00A01054" w:rsidRDefault="008E1D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The structure of 18-crown-6 is shown in Scheme 2 (above the reaction arrow). What is the structure of benzo-18-crown-6? </w:t>
      </w:r>
    </w:p>
    <w:p w14:paraId="00000009" w14:textId="77777777" w:rsidR="00A01054" w:rsidRDefault="008E1D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Consider the formula for compound </w:t>
      </w:r>
      <w:r>
        <w:rPr>
          <w:b/>
        </w:rPr>
        <w:t>1</w:t>
      </w:r>
      <w:r>
        <w:t>. Why is the K</w:t>
      </w:r>
      <w:r>
        <w:rPr>
          <w:vertAlign w:val="superscript"/>
        </w:rPr>
        <w:t>+</w:t>
      </w:r>
      <w:r>
        <w:t xml:space="preserve"> ion included within the brackets with 18-crown-6 (18C6)?  What does this imply structurally?</w:t>
      </w:r>
    </w:p>
    <w:p w14:paraId="0000000A" w14:textId="77777777" w:rsidR="00A01054" w:rsidRDefault="008E1D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In compound </w:t>
      </w:r>
      <w:r>
        <w:rPr>
          <w:b/>
        </w:rPr>
        <w:t>5</w:t>
      </w:r>
      <w:r>
        <w:t>, the formula has one K</w:t>
      </w:r>
      <w:r>
        <w:rPr>
          <w:vertAlign w:val="superscript"/>
        </w:rPr>
        <w:t>+</w:t>
      </w:r>
      <w:r>
        <w:t xml:space="preserve"> ion shown within brackets with 18-crown-6 (18C6), and one is alone outside of these brackets.  What does this imply about the structure?</w:t>
      </w:r>
    </w:p>
    <w:p w14:paraId="0000000B" w14:textId="77777777" w:rsidR="00A01054" w:rsidRDefault="008E1D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What purpose does 18-crown-6 serve in the syntheses of </w:t>
      </w:r>
      <w:r>
        <w:rPr>
          <w:b/>
          <w:color w:val="000000"/>
        </w:rPr>
        <w:t>1</w:t>
      </w:r>
      <w:r>
        <w:rPr>
          <w:color w:val="000000"/>
        </w:rPr>
        <w:t xml:space="preserve">, </w:t>
      </w:r>
      <w:r>
        <w:rPr>
          <w:b/>
          <w:color w:val="000000"/>
        </w:rPr>
        <w:t>2</w:t>
      </w:r>
      <w:r>
        <w:rPr>
          <w:color w:val="000000"/>
        </w:rPr>
        <w:t xml:space="preserve">, </w:t>
      </w:r>
      <w:r>
        <w:rPr>
          <w:b/>
          <w:color w:val="000000"/>
        </w:rPr>
        <w:t>3</w:t>
      </w:r>
      <w:r>
        <w:rPr>
          <w:color w:val="000000"/>
        </w:rPr>
        <w:t xml:space="preserve">, and </w:t>
      </w:r>
      <w:r>
        <w:rPr>
          <w:b/>
          <w:color w:val="000000"/>
        </w:rPr>
        <w:t>5</w:t>
      </w:r>
      <w:r>
        <w:rPr>
          <w:color w:val="000000"/>
        </w:rPr>
        <w:t>?</w:t>
      </w:r>
    </w:p>
    <w:p w14:paraId="0000000C" w14:textId="77777777" w:rsidR="00A01054" w:rsidRDefault="008E1D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Consider the fluorinated </w:t>
      </w:r>
      <w:proofErr w:type="spellStart"/>
      <w:r>
        <w:rPr>
          <w:color w:val="000000"/>
        </w:rPr>
        <w:t>aryl</w:t>
      </w:r>
      <w:r>
        <w:t>oxide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alkoxide</w:t>
      </w:r>
      <w:proofErr w:type="spellEnd"/>
      <w:r>
        <w:rPr>
          <w:color w:val="000000"/>
        </w:rPr>
        <w:t xml:space="preserve"> ligands in this article. Are these stronger or weaker pi-donors than</w:t>
      </w:r>
      <w:r>
        <w:t xml:space="preserve"> Cl</w:t>
      </w:r>
      <w:r>
        <w:rPr>
          <w:vertAlign w:val="superscript"/>
        </w:rPr>
        <w:t>-</w:t>
      </w:r>
      <w:r>
        <w:rPr>
          <w:color w:val="000000"/>
        </w:rPr>
        <w:t>? Wh</w:t>
      </w:r>
      <w:r>
        <w:t>at data from the paper support your conclusion</w:t>
      </w:r>
      <w:r>
        <w:rPr>
          <w:color w:val="000000"/>
        </w:rPr>
        <w:t>?</w:t>
      </w:r>
    </w:p>
    <w:p w14:paraId="0000000E" w14:textId="15658B01" w:rsidR="00A01054" w:rsidRPr="004A3F7F" w:rsidRDefault="008E1DD1" w:rsidP="00EE52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0" w:name="_GoBack"/>
      <w:r>
        <w:t xml:space="preserve">The molecules described in this paper are tetrahedral, not square planar, and </w:t>
      </w:r>
      <w:r w:rsidR="004A3F7F">
        <w:t>paramagnetic (prove this to yourself by looking up characterization data in the paper).</w:t>
      </w:r>
      <w:r>
        <w:t xml:space="preserve"> Draw the ligand field splitting diagram for this geometry, and add the appropriate number of d electrons. Is your result consistent with the magnetic data presented?   </w:t>
      </w:r>
    </w:p>
    <w:p w14:paraId="0000000F" w14:textId="77777777" w:rsidR="00A01054" w:rsidRDefault="008E1D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1" w:name="_gjdgxs" w:colFirst="0" w:colLast="0"/>
      <w:bookmarkEnd w:id="1"/>
      <w:bookmarkEnd w:id="0"/>
      <w:r>
        <w:rPr>
          <w:color w:val="000000"/>
        </w:rPr>
        <w:t xml:space="preserve">Compounds </w:t>
      </w:r>
      <w:r>
        <w:rPr>
          <w:b/>
          <w:color w:val="000000"/>
        </w:rPr>
        <w:t xml:space="preserve">2 </w:t>
      </w:r>
      <w:r>
        <w:rPr>
          <w:color w:val="000000"/>
        </w:rPr>
        <w:t xml:space="preserve">and </w:t>
      </w:r>
      <w:r>
        <w:rPr>
          <w:b/>
          <w:color w:val="000000"/>
        </w:rPr>
        <w:t xml:space="preserve">4 </w:t>
      </w:r>
      <w:r>
        <w:t xml:space="preserve">contain the same ligands; </w:t>
      </w:r>
      <w:r>
        <w:rPr>
          <w:color w:val="000000"/>
        </w:rPr>
        <w:t>howeve</w:t>
      </w:r>
      <w:r>
        <w:t>r, they</w:t>
      </w:r>
      <w:r>
        <w:rPr>
          <w:color w:val="000000"/>
        </w:rPr>
        <w:t xml:space="preserve"> display distinct electronic spectra and </w:t>
      </w:r>
      <w:proofErr w:type="spellStart"/>
      <w:proofErr w:type="gramStart"/>
      <w:r>
        <w:rPr>
          <w:color w:val="000000"/>
        </w:rPr>
        <w:t>D</w:t>
      </w:r>
      <w:r>
        <w:rPr>
          <w:color w:val="000000"/>
          <w:vertAlign w:val="subscript"/>
        </w:rPr>
        <w:t>q</w:t>
      </w:r>
      <w:proofErr w:type="spellEnd"/>
      <w:r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 valu</w:t>
      </w:r>
      <w:r>
        <w:t>es</w:t>
      </w:r>
      <w:proofErr w:type="gramEnd"/>
      <w:r>
        <w:rPr>
          <w:color w:val="000000"/>
        </w:rPr>
        <w:t xml:space="preserve">.  Carefully analyze their </w:t>
      </w:r>
      <w:r>
        <w:t>structures in Figure 1 of the paper.</w:t>
      </w:r>
      <w:r>
        <w:rPr>
          <w:color w:val="000000"/>
        </w:rPr>
        <w:t xml:space="preserve"> </w:t>
      </w:r>
      <w:r>
        <w:t xml:space="preserve">Suggest and discuss reasons for the differences in the electronic spectra. </w:t>
      </w:r>
      <w:r>
        <w:rPr>
          <w:color w:val="000000"/>
        </w:rPr>
        <w:t xml:space="preserve"> </w:t>
      </w:r>
    </w:p>
    <w:p w14:paraId="00000010" w14:textId="77777777" w:rsidR="00A01054" w:rsidRDefault="00A01054"/>
    <w:p w14:paraId="00000011" w14:textId="77777777" w:rsidR="00A01054" w:rsidRDefault="00A01054"/>
    <w:p w14:paraId="00000012" w14:textId="77777777" w:rsidR="00A01054" w:rsidRDefault="00A01054"/>
    <w:sectPr w:rsidR="00A01054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A74FA" w14:textId="77777777" w:rsidR="00AD1B43" w:rsidRDefault="00AD1B43">
      <w:pPr>
        <w:spacing w:after="0" w:line="240" w:lineRule="auto"/>
      </w:pPr>
      <w:r>
        <w:separator/>
      </w:r>
    </w:p>
  </w:endnote>
  <w:endnote w:type="continuationSeparator" w:id="0">
    <w:p w14:paraId="3B2A1D72" w14:textId="77777777" w:rsidR="00AD1B43" w:rsidRDefault="00AD1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13CD2" w14:textId="77777777" w:rsidR="00AD1B43" w:rsidRDefault="00AD1B43">
      <w:pPr>
        <w:spacing w:after="0" w:line="240" w:lineRule="auto"/>
      </w:pPr>
      <w:r>
        <w:separator/>
      </w:r>
    </w:p>
  </w:footnote>
  <w:footnote w:type="continuationSeparator" w:id="0">
    <w:p w14:paraId="744495E3" w14:textId="77777777" w:rsidR="00AD1B43" w:rsidRDefault="00AD1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3" w14:textId="77777777" w:rsidR="00A01054" w:rsidRDefault="008E1DD1">
    <w:pPr>
      <w:tabs>
        <w:tab w:val="center" w:pos="540"/>
        <w:tab w:val="left" w:pos="4410"/>
      </w:tabs>
      <w:spacing w:after="0" w:line="240" w:lineRule="auto"/>
    </w:pPr>
    <w:r>
      <w:rPr>
        <w:rFonts w:ascii="Times New Roman" w:eastAsia="Times New Roman" w:hAnsi="Times New Roman" w:cs="Times New Roman"/>
        <w:sz w:val="20"/>
        <w:szCs w:val="20"/>
      </w:rPr>
      <w:t xml:space="preserve">Created by Wesley S. Farrell, U.S. Naval Academy, Jeremy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Andreatta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Worcester State University, Nate Hartmann, Boston University,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Denyce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Wicht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Suffolk University and posted on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VIPEr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on June 6, 2019.  Copyright 2019. This work is licensed under the Creative Commons Attribution Non-commercial Share Alike License. To view a copy of this license visit </w:t>
    </w:r>
    <w:hyperlink r:id="rId1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http://creativecommons.org/about/license/</w:t>
      </w:r>
    </w:hyperlink>
    <w:r>
      <w:rPr>
        <w:rFonts w:ascii="Times New Roman" w:eastAsia="Times New Roman" w:hAnsi="Times New Roman" w:cs="Times New Roman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E2A44"/>
    <w:multiLevelType w:val="multilevel"/>
    <w:tmpl w:val="455893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54"/>
    <w:rsid w:val="004A3F7F"/>
    <w:rsid w:val="008E1DD1"/>
    <w:rsid w:val="00A01054"/>
    <w:rsid w:val="00AD1B43"/>
    <w:rsid w:val="00D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A58DD"/>
  <w15:docId w15:val="{0A0AA5A0-0F62-4425-8874-72DA7DA7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Naval Academy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Farrell, Wesley CIV USNA Annapolis</dc:creator>
  <cp:lastModifiedBy>Farrell, Wesley CIV USNA Annapolis</cp:lastModifiedBy>
  <cp:revision>3</cp:revision>
  <dcterms:created xsi:type="dcterms:W3CDTF">2019-06-07T14:36:00Z</dcterms:created>
  <dcterms:modified xsi:type="dcterms:W3CDTF">2019-06-07T15:11:00Z</dcterms:modified>
</cp:coreProperties>
</file>