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BD" w:rsidRPr="006B6A7A" w:rsidRDefault="00DC3EBD" w:rsidP="00DC3EBD">
      <w:pPr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</w:rPr>
        <w:t xml:space="preserve">Application of binomial distribution to interpret </w:t>
      </w:r>
      <w:r w:rsidRPr="00D01BC3">
        <w:rPr>
          <w:rFonts w:ascii="Times" w:hAnsi="Times" w:cs="Times"/>
          <w:b/>
          <w:vertAlign w:val="superscript"/>
        </w:rPr>
        <w:t>31</w:t>
      </w:r>
      <w:r>
        <w:rPr>
          <w:rFonts w:ascii="Times" w:hAnsi="Times" w:cs="Times"/>
          <w:b/>
        </w:rPr>
        <w:t>P NMR for</w:t>
      </w:r>
      <w:r w:rsidRPr="00D01BC3">
        <w:rPr>
          <w:rFonts w:ascii="Times" w:hAnsi="Times" w:cs="Times"/>
          <w:b/>
        </w:rPr>
        <w:t xml:space="preserve"> </w:t>
      </w:r>
      <w:r>
        <w:rPr>
          <w:rFonts w:ascii="Times" w:hAnsi="Times" w:cs="Times"/>
          <w:b/>
        </w:rPr>
        <w:t>aqueous solution of α-dodecatungstophosphoric acid, α-</w:t>
      </w:r>
      <w:proofErr w:type="gramStart"/>
      <w:r>
        <w:rPr>
          <w:rFonts w:ascii="Times" w:hAnsi="Times" w:cs="Times"/>
          <w:b/>
        </w:rPr>
        <w:t>H</w:t>
      </w:r>
      <w:r>
        <w:rPr>
          <w:rFonts w:ascii="Times" w:hAnsi="Times" w:cs="Times"/>
          <w:b/>
          <w:vertAlign w:val="subscript"/>
        </w:rPr>
        <w:t>3</w:t>
      </w:r>
      <w:r>
        <w:rPr>
          <w:rFonts w:ascii="Times" w:hAnsi="Times" w:cs="Times"/>
          <w:b/>
        </w:rPr>
        <w:t>[</w:t>
      </w:r>
      <w:proofErr w:type="gramEnd"/>
      <w:r>
        <w:rPr>
          <w:rFonts w:ascii="Times" w:hAnsi="Times" w:cs="Times"/>
          <w:b/>
        </w:rPr>
        <w:t>PW</w:t>
      </w:r>
      <w:r>
        <w:rPr>
          <w:rFonts w:ascii="Times" w:hAnsi="Times" w:cs="Times"/>
          <w:b/>
          <w:vertAlign w:val="subscript"/>
        </w:rPr>
        <w:t>12</w:t>
      </w:r>
      <w:r>
        <w:rPr>
          <w:rFonts w:ascii="Times" w:hAnsi="Times" w:cs="Times"/>
          <w:b/>
        </w:rPr>
        <w:t>O</w:t>
      </w:r>
      <w:r>
        <w:rPr>
          <w:rFonts w:ascii="Times" w:hAnsi="Times" w:cs="Times"/>
          <w:b/>
          <w:vertAlign w:val="subscript"/>
        </w:rPr>
        <w:t>40</w:t>
      </w:r>
      <w:r>
        <w:rPr>
          <w:rFonts w:ascii="Times" w:hAnsi="Times" w:cs="Times"/>
          <w:b/>
        </w:rPr>
        <w:t xml:space="preserve">] </w:t>
      </w:r>
    </w:p>
    <w:p w:rsidR="00DC3EBD" w:rsidRDefault="00DC3EBD" w:rsidP="00DC3EBD">
      <w:pPr>
        <w:rPr>
          <w:rFonts w:ascii="Times" w:hAnsi="Times" w:cs="Times"/>
        </w:rPr>
      </w:pPr>
    </w:p>
    <w:p w:rsidR="00DC3EBD" w:rsidRDefault="00DC3EBD" w:rsidP="00DC3EBD">
      <w:p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Russel</w:t>
      </w:r>
      <w:proofErr w:type="spellEnd"/>
      <w:r>
        <w:rPr>
          <w:rFonts w:ascii="Times" w:hAnsi="Times" w:cs="Times"/>
        </w:rPr>
        <w:t xml:space="preserve"> F. </w:t>
      </w:r>
      <w:proofErr w:type="spellStart"/>
      <w:r>
        <w:rPr>
          <w:rFonts w:ascii="Times" w:hAnsi="Times" w:cs="Times"/>
        </w:rPr>
        <w:t>Algera</w:t>
      </w:r>
      <w:proofErr w:type="spellEnd"/>
      <w:r>
        <w:rPr>
          <w:rFonts w:ascii="Times" w:hAnsi="Times" w:cs="Times"/>
        </w:rPr>
        <w:t xml:space="preserve"> and Mariusz Kozik </w:t>
      </w:r>
    </w:p>
    <w:p w:rsidR="00DC3EBD" w:rsidRPr="00D97D45" w:rsidRDefault="00DC3EBD" w:rsidP="00DC3EBD">
      <w:pPr>
        <w:rPr>
          <w:rFonts w:ascii="Times" w:hAnsi="Times" w:cs="Times"/>
          <w:i/>
        </w:rPr>
      </w:pPr>
      <w:r w:rsidRPr="00D97D45">
        <w:rPr>
          <w:rFonts w:ascii="Times" w:hAnsi="Times" w:cs="Times"/>
          <w:i/>
        </w:rPr>
        <w:t xml:space="preserve">Department of Chemistry and Biochemistry, Canisius College, </w:t>
      </w:r>
      <w:r>
        <w:rPr>
          <w:rFonts w:ascii="Times" w:hAnsi="Times" w:cs="Times"/>
          <w:i/>
        </w:rPr>
        <w:t>Buffalo, NY 14208</w:t>
      </w:r>
    </w:p>
    <w:p w:rsidR="00DC3EBD" w:rsidRDefault="00DC3EBD" w:rsidP="00DC3EBD">
      <w:pPr>
        <w:rPr>
          <w:rFonts w:ascii="Times" w:hAnsi="Times" w:cs="Times"/>
        </w:rPr>
      </w:pPr>
    </w:p>
    <w:p w:rsidR="00DC3EBD" w:rsidRDefault="00DC3EBD" w:rsidP="00DC3EBD">
      <w:pPr>
        <w:rPr>
          <w:rFonts w:ascii="Times" w:hAnsi="Times" w:cs="Times"/>
        </w:rPr>
      </w:pPr>
    </w:p>
    <w:p w:rsidR="00DC3EBD" w:rsidRDefault="00DC3EBD" w:rsidP="00DC3EBD">
      <w:pPr>
        <w:rPr>
          <w:rFonts w:ascii="Times" w:hAnsi="Times" w:cs="Times"/>
        </w:rPr>
      </w:pPr>
    </w:p>
    <w:p w:rsidR="00DC3EBD" w:rsidRDefault="00DC3EBD" w:rsidP="00DC3EBD">
      <w:pPr>
        <w:rPr>
          <w:rFonts w:ascii="Times" w:hAnsi="Times" w:cs="Times"/>
        </w:rPr>
      </w:pPr>
    </w:p>
    <w:p w:rsidR="00DC3EBD" w:rsidRDefault="00DC3EBD" w:rsidP="00DC3EBD">
      <w:pPr>
        <w:rPr>
          <w:rFonts w:ascii="Times" w:hAnsi="Times" w:cs="Times"/>
        </w:rPr>
      </w:pPr>
      <w:r w:rsidRPr="00071B8D">
        <w:rPr>
          <w:rFonts w:ascii="Times" w:hAnsi="Times" w:cs="Times"/>
        </w:rPr>
        <w:t>α-Dodecatungstophosphoric</w:t>
      </w:r>
      <w:r>
        <w:rPr>
          <w:rFonts w:ascii="Times" w:hAnsi="Times" w:cs="Times"/>
        </w:rPr>
        <w:t xml:space="preserve"> acid, </w:t>
      </w:r>
      <w:proofErr w:type="gramStart"/>
      <w:r>
        <w:rPr>
          <w:rFonts w:ascii="Times" w:hAnsi="Times" w:cs="Times"/>
        </w:rPr>
        <w:t>H</w:t>
      </w:r>
      <w:r>
        <w:rPr>
          <w:rFonts w:ascii="Times" w:hAnsi="Times" w:cs="Times"/>
          <w:vertAlign w:val="subscript"/>
        </w:rPr>
        <w:t>3</w:t>
      </w:r>
      <w:r>
        <w:rPr>
          <w:rFonts w:ascii="Times" w:hAnsi="Times" w:cs="Times"/>
        </w:rPr>
        <w:t>[</w:t>
      </w:r>
      <w:proofErr w:type="gramEnd"/>
      <w:r>
        <w:rPr>
          <w:rFonts w:ascii="Times" w:hAnsi="Times" w:cs="Times"/>
        </w:rPr>
        <w:t>PW</w:t>
      </w:r>
      <w:r>
        <w:rPr>
          <w:rFonts w:ascii="Times" w:hAnsi="Times" w:cs="Times"/>
          <w:vertAlign w:val="subscript"/>
        </w:rPr>
        <w:t>12</w:t>
      </w:r>
      <w:r>
        <w:rPr>
          <w:rFonts w:ascii="Times" w:hAnsi="Times" w:cs="Times"/>
        </w:rPr>
        <w:t>O</w:t>
      </w:r>
      <w:r>
        <w:rPr>
          <w:rFonts w:ascii="Times" w:hAnsi="Times" w:cs="Times"/>
          <w:vertAlign w:val="subscript"/>
        </w:rPr>
        <w:t>40</w:t>
      </w:r>
      <w:r>
        <w:rPr>
          <w:rFonts w:ascii="Times" w:hAnsi="Times" w:cs="Times"/>
        </w:rPr>
        <w:t>], is a strong acid whose anion has so-called "Keggin" structure. The anion structure has overall T</w:t>
      </w:r>
      <w:r>
        <w:rPr>
          <w:rFonts w:ascii="Times" w:hAnsi="Times" w:cs="Times"/>
          <w:vertAlign w:val="subscript"/>
        </w:rPr>
        <w:t>d</w:t>
      </w:r>
      <w:r>
        <w:rPr>
          <w:rFonts w:ascii="Times" w:hAnsi="Times" w:cs="Times"/>
        </w:rPr>
        <w:t xml:space="preserve"> symmetry and is based on a central PO</w:t>
      </w:r>
      <w:r>
        <w:rPr>
          <w:rFonts w:ascii="Times" w:hAnsi="Times" w:cs="Times"/>
          <w:vertAlign w:val="subscript"/>
        </w:rPr>
        <w:t>4</w:t>
      </w:r>
      <w:r>
        <w:rPr>
          <w:rFonts w:ascii="Times" w:hAnsi="Times" w:cs="Times"/>
        </w:rPr>
        <w:t xml:space="preserve"> tetrahedron surrounded by twelve WO</w:t>
      </w:r>
      <w:r>
        <w:rPr>
          <w:rFonts w:ascii="Times" w:hAnsi="Times" w:cs="Times"/>
          <w:vertAlign w:val="subscript"/>
        </w:rPr>
        <w:t>6</w:t>
      </w:r>
      <w:r>
        <w:rPr>
          <w:rFonts w:ascii="Times" w:hAnsi="Times" w:cs="Times"/>
        </w:rPr>
        <w:t xml:space="preserve"> octahedra, arranged in four groups of three edge-shared octahedra, W</w:t>
      </w:r>
      <w:r>
        <w:rPr>
          <w:rFonts w:ascii="Times" w:hAnsi="Times" w:cs="Times"/>
          <w:vertAlign w:val="subscript"/>
        </w:rPr>
        <w:t>3</w:t>
      </w:r>
      <w:r>
        <w:rPr>
          <w:rFonts w:ascii="Times" w:hAnsi="Times" w:cs="Times"/>
        </w:rPr>
        <w:t>O</w:t>
      </w:r>
      <w:r>
        <w:rPr>
          <w:rFonts w:ascii="Times" w:hAnsi="Times" w:cs="Times"/>
          <w:vertAlign w:val="subscript"/>
        </w:rPr>
        <w:t>13</w:t>
      </w:r>
      <w:r>
        <w:rPr>
          <w:rFonts w:ascii="Times" w:hAnsi="Times" w:cs="Times"/>
        </w:rPr>
        <w:t>. These groups are linked together and to the central PO</w:t>
      </w:r>
      <w:r>
        <w:rPr>
          <w:rFonts w:ascii="Times" w:hAnsi="Times" w:cs="Times"/>
          <w:vertAlign w:val="subscript"/>
        </w:rPr>
        <w:t>4</w:t>
      </w:r>
      <w:r>
        <w:rPr>
          <w:rFonts w:ascii="Times" w:hAnsi="Times" w:cs="Times"/>
        </w:rPr>
        <w:t xml:space="preserve"> tetrahedron by sharing corners. </w:t>
      </w:r>
    </w:p>
    <w:p w:rsidR="00DC3EBD" w:rsidRDefault="00DC3EBD" w:rsidP="00DC3EBD">
      <w:pPr>
        <w:rPr>
          <w:noProof/>
        </w:rPr>
      </w:pPr>
    </w:p>
    <w:p w:rsidR="00DC3EBD" w:rsidRDefault="00DC3EBD" w:rsidP="00DC3EBD">
      <w:pPr>
        <w:rPr>
          <w:rFonts w:ascii="Times" w:hAnsi="Times" w:cs="Times"/>
        </w:rPr>
      </w:pPr>
      <w:r>
        <w:rPr>
          <w:rFonts w:ascii="Times" w:hAnsi="Times" w:cs="Times"/>
        </w:rPr>
        <w:t>T</w:t>
      </w:r>
      <w:r>
        <w:t xml:space="preserve">he </w:t>
      </w:r>
      <w:r w:rsidRPr="007A3695">
        <w:rPr>
          <w:bCs/>
        </w:rPr>
        <w:t xml:space="preserve">structure is shown </w:t>
      </w:r>
      <w:r>
        <w:rPr>
          <w:bCs/>
        </w:rPr>
        <w:t xml:space="preserve">below </w:t>
      </w:r>
      <w:r w:rsidRPr="007A3695">
        <w:rPr>
          <w:bCs/>
        </w:rPr>
        <w:t>in the pol</w:t>
      </w:r>
      <w:r>
        <w:rPr>
          <w:bCs/>
        </w:rPr>
        <w:t xml:space="preserve">yhedral form in which the tungstens reside in the centers and </w:t>
      </w:r>
      <w:r w:rsidRPr="007A3695">
        <w:rPr>
          <w:bCs/>
        </w:rPr>
        <w:t>oxygen atoms are at vert</w:t>
      </w:r>
      <w:r>
        <w:rPr>
          <w:bCs/>
        </w:rPr>
        <w:t>ices of the white octahedra. The central tetrahedral P</w:t>
      </w:r>
      <w:r w:rsidRPr="007A3695">
        <w:rPr>
          <w:bCs/>
        </w:rPr>
        <w:t>O</w:t>
      </w:r>
      <w:r w:rsidRPr="007A3695">
        <w:rPr>
          <w:bCs/>
          <w:vertAlign w:val="subscript"/>
        </w:rPr>
        <w:t>4</w:t>
      </w:r>
      <w:r w:rsidRPr="007A3695">
        <w:rPr>
          <w:bCs/>
        </w:rPr>
        <w:t xml:space="preserve"> unit is shaded </w:t>
      </w:r>
      <w:r>
        <w:rPr>
          <w:bCs/>
        </w:rPr>
        <w:t>and is surrounded by twelve</w:t>
      </w:r>
      <w:r w:rsidRPr="007A3695">
        <w:rPr>
          <w:bCs/>
        </w:rPr>
        <w:t xml:space="preserve"> WO</w:t>
      </w:r>
      <w:r w:rsidRPr="007A3695">
        <w:rPr>
          <w:bCs/>
          <w:vertAlign w:val="subscript"/>
        </w:rPr>
        <w:t>6</w:t>
      </w:r>
      <w:r w:rsidRPr="007A3695">
        <w:rPr>
          <w:bCs/>
        </w:rPr>
        <w:t xml:space="preserve"> octahedra</w:t>
      </w:r>
      <w:r>
        <w:rPr>
          <w:bCs/>
        </w:rPr>
        <w:t>.</w:t>
      </w:r>
      <w:r w:rsidRPr="006775C3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Note that all tungsten atoms in this structure are identical.</w:t>
      </w:r>
    </w:p>
    <w:p w:rsidR="00DC3EBD" w:rsidRDefault="00DC3EBD" w:rsidP="00DC3EBD">
      <w:pPr>
        <w:rPr>
          <w:noProof/>
        </w:rPr>
      </w:pPr>
    </w:p>
    <w:p w:rsidR="00DC3EBD" w:rsidRDefault="00DC3EBD" w:rsidP="00DC3EBD">
      <w:pPr>
        <w:ind w:left="2160" w:firstLine="720"/>
      </w:pPr>
      <w:r>
        <w:rPr>
          <w:noProof/>
        </w:rPr>
        <w:drawing>
          <wp:inline distT="0" distB="0" distL="0" distR="0" wp14:anchorId="09EABAC8" wp14:editId="0D0C4F12">
            <wp:extent cx="2428488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8" t="-267" r="-328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57" cy="244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BD" w:rsidRPr="009B117A" w:rsidRDefault="00DC3EBD" w:rsidP="00DC3EBD">
      <w:pPr>
        <w:jc w:val="center"/>
      </w:pPr>
      <w:r w:rsidRPr="009B117A">
        <w:rPr>
          <w:b/>
        </w:rPr>
        <w:t>Figure 1.</w:t>
      </w:r>
      <w:r>
        <w:t xml:space="preserve"> Polyhedral representation of α</w:t>
      </w:r>
      <w:proofErr w:type="gramStart"/>
      <w:r>
        <w:t>-[</w:t>
      </w:r>
      <w:proofErr w:type="gramEnd"/>
      <w:r>
        <w:t>PW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40</w:t>
      </w:r>
      <w:r w:rsidRPr="009B117A">
        <w:t>]</w:t>
      </w:r>
      <w:r>
        <w:rPr>
          <w:vertAlign w:val="superscript"/>
        </w:rPr>
        <w:t>3-</w:t>
      </w:r>
      <w:r>
        <w:t xml:space="preserve"> structure.</w:t>
      </w:r>
    </w:p>
    <w:p w:rsidR="00DC3EBD" w:rsidRDefault="00DC3EBD" w:rsidP="00DC3EBD">
      <w:pPr>
        <w:rPr>
          <w:vertAlign w:val="superscript"/>
        </w:rPr>
      </w:pPr>
    </w:p>
    <w:p w:rsidR="00DC3EBD" w:rsidRDefault="00DC3EBD" w:rsidP="00DC3EBD">
      <w:pPr>
        <w:rPr>
          <w:vertAlign w:val="superscript"/>
        </w:rPr>
      </w:pPr>
    </w:p>
    <w:p w:rsidR="00DC3EBD" w:rsidRDefault="00DC3EBD" w:rsidP="00DC3EBD">
      <w:pPr>
        <w:widowControl/>
        <w:autoSpaceDE/>
        <w:autoSpaceDN/>
        <w:adjustRightInd/>
        <w:rPr>
          <w:vertAlign w:val="superscript"/>
        </w:rPr>
      </w:pPr>
      <w:r>
        <w:rPr>
          <w:vertAlign w:val="superscript"/>
        </w:rPr>
        <w:br w:type="page"/>
      </w:r>
    </w:p>
    <w:p w:rsidR="00DC3EBD" w:rsidRDefault="00DC3EBD" w:rsidP="00DC3EBD">
      <w:pPr>
        <w:rPr>
          <w:vertAlign w:val="superscript"/>
        </w:rPr>
      </w:pPr>
    </w:p>
    <w:p w:rsidR="00DC3EBD" w:rsidRDefault="00DC3EBD" w:rsidP="00DC3EBD">
      <w:pPr>
        <w:rPr>
          <w:rFonts w:ascii="Times" w:hAnsi="Times" w:cs="Times"/>
        </w:rPr>
      </w:pPr>
      <w:r>
        <w:rPr>
          <w:vertAlign w:val="superscript"/>
        </w:rPr>
        <w:t>31</w:t>
      </w:r>
      <w:r>
        <w:t xml:space="preserve">P NMR of aqueous solution of </w:t>
      </w:r>
      <w:proofErr w:type="gramStart"/>
      <w:r>
        <w:rPr>
          <w:rFonts w:ascii="Times" w:hAnsi="Times" w:cs="Times"/>
        </w:rPr>
        <w:t>H</w:t>
      </w:r>
      <w:r>
        <w:rPr>
          <w:rFonts w:ascii="Times" w:hAnsi="Times" w:cs="Times"/>
          <w:vertAlign w:val="subscript"/>
        </w:rPr>
        <w:t>3</w:t>
      </w:r>
      <w:r>
        <w:rPr>
          <w:rFonts w:ascii="Times" w:hAnsi="Times" w:cs="Times"/>
        </w:rPr>
        <w:t>[</w:t>
      </w:r>
      <w:proofErr w:type="gramEnd"/>
      <w:r>
        <w:rPr>
          <w:rFonts w:ascii="Times" w:hAnsi="Times" w:cs="Times"/>
        </w:rPr>
        <w:t>PW</w:t>
      </w:r>
      <w:r>
        <w:rPr>
          <w:rFonts w:ascii="Times" w:hAnsi="Times" w:cs="Times"/>
          <w:vertAlign w:val="subscript"/>
        </w:rPr>
        <w:t>12</w:t>
      </w:r>
      <w:r>
        <w:rPr>
          <w:rFonts w:ascii="Times" w:hAnsi="Times" w:cs="Times"/>
        </w:rPr>
        <w:t>O</w:t>
      </w:r>
      <w:r>
        <w:rPr>
          <w:rFonts w:ascii="Times" w:hAnsi="Times" w:cs="Times"/>
          <w:vertAlign w:val="subscript"/>
        </w:rPr>
        <w:t>40</w:t>
      </w:r>
      <w:r>
        <w:rPr>
          <w:rFonts w:ascii="Times" w:hAnsi="Times" w:cs="Times"/>
        </w:rPr>
        <w:t>]</w:t>
      </w:r>
      <w:r>
        <w:rPr>
          <w:rFonts w:ascii="Times" w:hAnsi="Times" w:cs="Times"/>
          <w:vertAlign w:val="subscript"/>
        </w:rPr>
        <w:t xml:space="preserve"> </w:t>
      </w:r>
      <w:r>
        <w:rPr>
          <w:rFonts w:ascii="Times" w:hAnsi="Times" w:cs="Times"/>
        </w:rPr>
        <w:t xml:space="preserve"> consists of a symmetrical heptet with approximate intensities 1 : 4 : 11 : 16 : 11 : 4 : 1.  See Figure 2.</w:t>
      </w:r>
    </w:p>
    <w:p w:rsidR="00DC3EBD" w:rsidRDefault="00DC3EBD" w:rsidP="00DC3EBD">
      <w:pPr>
        <w:rPr>
          <w:rFonts w:ascii="Times" w:hAnsi="Times" w:cs="Times"/>
        </w:rPr>
      </w:pPr>
    </w:p>
    <w:p w:rsidR="00DC3EBD" w:rsidRDefault="00DC3EBD" w:rsidP="00DC3EBD">
      <w:pPr>
        <w:jc w:val="center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2C4212CC" wp14:editId="7DD7EADB">
            <wp:extent cx="3048000" cy="53539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NM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289" cy="537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EBD" w:rsidRDefault="00DC3EBD" w:rsidP="00DC3EBD">
      <w:pPr>
        <w:jc w:val="center"/>
        <w:rPr>
          <w:rFonts w:ascii="Times" w:hAnsi="Times" w:cs="Times"/>
          <w:b/>
        </w:rPr>
      </w:pPr>
    </w:p>
    <w:p w:rsidR="00DC3EBD" w:rsidRPr="00DE2B33" w:rsidRDefault="00DC3EBD" w:rsidP="00DC3EBD">
      <w:pPr>
        <w:jc w:val="center"/>
        <w:rPr>
          <w:rFonts w:ascii="Times" w:hAnsi="Times" w:cs="Times"/>
        </w:rPr>
      </w:pPr>
      <w:r w:rsidRPr="00DE2B33">
        <w:rPr>
          <w:rFonts w:ascii="Times" w:hAnsi="Times" w:cs="Times"/>
          <w:b/>
        </w:rPr>
        <w:t xml:space="preserve">Figure 2. </w:t>
      </w:r>
      <w:r>
        <w:rPr>
          <w:rFonts w:ascii="Times" w:hAnsi="Times" w:cs="Times"/>
          <w:vertAlign w:val="superscript"/>
        </w:rPr>
        <w:t>31</w:t>
      </w:r>
      <w:r>
        <w:rPr>
          <w:rFonts w:ascii="Times" w:hAnsi="Times" w:cs="Times"/>
        </w:rPr>
        <w:t xml:space="preserve">P NMR of 0.1M </w:t>
      </w:r>
      <w:proofErr w:type="gramStart"/>
      <w:r>
        <w:rPr>
          <w:rFonts w:ascii="Times" w:hAnsi="Times" w:cs="Times"/>
        </w:rPr>
        <w:t>H</w:t>
      </w:r>
      <w:r>
        <w:rPr>
          <w:rFonts w:ascii="Times" w:hAnsi="Times" w:cs="Times"/>
          <w:vertAlign w:val="subscript"/>
        </w:rPr>
        <w:t>3</w:t>
      </w:r>
      <w:r>
        <w:rPr>
          <w:rFonts w:ascii="Times" w:hAnsi="Times" w:cs="Times"/>
        </w:rPr>
        <w:t>[</w:t>
      </w:r>
      <w:proofErr w:type="gramEnd"/>
      <w:r>
        <w:rPr>
          <w:rFonts w:ascii="Times" w:hAnsi="Times" w:cs="Times"/>
        </w:rPr>
        <w:t>PW</w:t>
      </w:r>
      <w:r>
        <w:rPr>
          <w:rFonts w:ascii="Times" w:hAnsi="Times" w:cs="Times"/>
          <w:vertAlign w:val="subscript"/>
        </w:rPr>
        <w:t>12</w:t>
      </w:r>
      <w:r>
        <w:rPr>
          <w:rFonts w:ascii="Times" w:hAnsi="Times" w:cs="Times"/>
        </w:rPr>
        <w:t>O</w:t>
      </w:r>
      <w:r>
        <w:rPr>
          <w:rFonts w:ascii="Times" w:hAnsi="Times" w:cs="Times"/>
          <w:vertAlign w:val="subscript"/>
        </w:rPr>
        <w:t>40</w:t>
      </w:r>
      <w:r w:rsidRPr="001E6197">
        <w:rPr>
          <w:rFonts w:ascii="Times" w:hAnsi="Times" w:cs="Times"/>
        </w:rPr>
        <w:t>]</w:t>
      </w:r>
      <w:r w:rsidRPr="001E6197">
        <w:rPr>
          <w:rFonts w:ascii="Times" w:hAnsi="Times" w:cs="Times"/>
          <w:i/>
        </w:rPr>
        <w:t>(</w:t>
      </w:r>
      <w:proofErr w:type="spellStart"/>
      <w:r w:rsidRPr="001E6197">
        <w:rPr>
          <w:rFonts w:ascii="Times" w:hAnsi="Times" w:cs="Times"/>
          <w:i/>
        </w:rPr>
        <w:t>aq</w:t>
      </w:r>
      <w:proofErr w:type="spellEnd"/>
      <w:r w:rsidRPr="001E6197">
        <w:rPr>
          <w:rFonts w:ascii="Times" w:hAnsi="Times" w:cs="Times"/>
          <w:i/>
        </w:rPr>
        <w:t>)</w:t>
      </w:r>
    </w:p>
    <w:p w:rsidR="00DC3EBD" w:rsidRDefault="00DC3EBD" w:rsidP="00DC3EBD">
      <w:pPr>
        <w:rPr>
          <w:rFonts w:ascii="Times" w:hAnsi="Times" w:cs="Times"/>
        </w:rPr>
      </w:pPr>
    </w:p>
    <w:p w:rsidR="00DC3EBD" w:rsidRDefault="00DC3EBD" w:rsidP="00DC3EBD">
      <w:pPr>
        <w:rPr>
          <w:rFonts w:ascii="Times" w:hAnsi="Times" w:cs="Times"/>
        </w:rPr>
      </w:pPr>
    </w:p>
    <w:p w:rsidR="00DC3EBD" w:rsidRDefault="00DC3EBD" w:rsidP="00DC3EBD">
      <w:pPr>
        <w:rPr>
          <w:rFonts w:ascii="Times" w:hAnsi="Times" w:cs="Times"/>
        </w:rPr>
      </w:pPr>
    </w:p>
    <w:p w:rsidR="00DC3EBD" w:rsidRDefault="00DC3EBD" w:rsidP="00DC3EBD">
      <w:pPr>
        <w:rPr>
          <w:rFonts w:ascii="Times" w:hAnsi="Times" w:cs="Times"/>
        </w:rPr>
      </w:pPr>
      <w:r>
        <w:rPr>
          <w:rFonts w:ascii="Times" w:hAnsi="Times" w:cs="Times"/>
        </w:rPr>
        <w:t xml:space="preserve">Interpret the spectrum knowing that the only NMR active isotope of tungsten, </w:t>
      </w:r>
      <w:r>
        <w:rPr>
          <w:rFonts w:ascii="Times" w:hAnsi="Times" w:cs="Times"/>
          <w:vertAlign w:val="superscript"/>
        </w:rPr>
        <w:t>183</w:t>
      </w:r>
      <w:r>
        <w:rPr>
          <w:rFonts w:ascii="Times" w:hAnsi="Times" w:cs="Times"/>
        </w:rPr>
        <w:t xml:space="preserve">W, with spin ½, is 14.3% abundant. The other isotopes, </w:t>
      </w:r>
      <w:r w:rsidRPr="00B370AB">
        <w:rPr>
          <w:rFonts w:ascii="Times" w:hAnsi="Times" w:cs="Times"/>
          <w:vertAlign w:val="superscript"/>
        </w:rPr>
        <w:t>180</w:t>
      </w:r>
      <w:r>
        <w:rPr>
          <w:rFonts w:ascii="Times" w:hAnsi="Times" w:cs="Times"/>
        </w:rPr>
        <w:t xml:space="preserve">W, </w:t>
      </w:r>
      <w:r>
        <w:rPr>
          <w:rFonts w:ascii="Times" w:hAnsi="Times" w:cs="Times"/>
          <w:vertAlign w:val="superscript"/>
        </w:rPr>
        <w:t>182</w:t>
      </w:r>
      <w:r>
        <w:rPr>
          <w:rFonts w:ascii="Times" w:hAnsi="Times" w:cs="Times"/>
        </w:rPr>
        <w:t xml:space="preserve">W, </w:t>
      </w:r>
      <w:r>
        <w:rPr>
          <w:rFonts w:ascii="Times" w:hAnsi="Times" w:cs="Times"/>
          <w:vertAlign w:val="superscript"/>
        </w:rPr>
        <w:t>184</w:t>
      </w:r>
      <w:r>
        <w:rPr>
          <w:rFonts w:ascii="Times" w:hAnsi="Times" w:cs="Times"/>
        </w:rPr>
        <w:t xml:space="preserve">W, and </w:t>
      </w:r>
      <w:r>
        <w:rPr>
          <w:rFonts w:ascii="Times" w:hAnsi="Times" w:cs="Times"/>
          <w:vertAlign w:val="superscript"/>
        </w:rPr>
        <w:t>186</w:t>
      </w:r>
      <w:r w:rsidRPr="00B370AB">
        <w:rPr>
          <w:rFonts w:ascii="Times" w:hAnsi="Times" w:cs="Times"/>
        </w:rPr>
        <w:t>W</w:t>
      </w:r>
      <w:r>
        <w:rPr>
          <w:rFonts w:ascii="Times" w:hAnsi="Times" w:cs="Times"/>
        </w:rPr>
        <w:t xml:space="preserve">, all have a nuclear spin equal to zero. Assume that the only observed coupling is two-bond P-W coupling. </w:t>
      </w:r>
    </w:p>
    <w:p w:rsidR="00DC3EBD" w:rsidRDefault="00DC3EBD" w:rsidP="00DC3EBD">
      <w:pPr>
        <w:rPr>
          <w:rFonts w:ascii="Times" w:hAnsi="Times" w:cs="Times"/>
        </w:rPr>
      </w:pPr>
    </w:p>
    <w:p w:rsidR="00DC3EBD" w:rsidRDefault="00DC3EBD" w:rsidP="00DC3EBD">
      <w:pPr>
        <w:rPr>
          <w:rFonts w:ascii="Times" w:hAnsi="Times" w:cs="Times"/>
        </w:rPr>
      </w:pPr>
      <w:r>
        <w:rPr>
          <w:rFonts w:ascii="Times" w:hAnsi="Times" w:cs="Times"/>
        </w:rPr>
        <w:t>To do your interpretation answer the following questions 1-7.</w:t>
      </w:r>
    </w:p>
    <w:p w:rsidR="00DC3EBD" w:rsidRPr="001E6197" w:rsidRDefault="00DC3EBD" w:rsidP="002A7FBA">
      <w:pPr>
        <w:tabs>
          <w:tab w:val="left" w:pos="360"/>
        </w:tabs>
        <w:ind w:left="360" w:hanging="360"/>
        <w:rPr>
          <w:rFonts w:ascii="Times" w:hAnsi="Times" w:cs="Times"/>
        </w:rPr>
      </w:pPr>
      <w:r>
        <w:rPr>
          <w:rFonts w:ascii="Times" w:hAnsi="Times" w:cs="Times"/>
        </w:rPr>
        <w:br w:type="page"/>
      </w:r>
      <w:bookmarkStart w:id="0" w:name="_GoBack"/>
      <w:bookmarkEnd w:id="0"/>
      <w:r w:rsidRPr="00E465B9">
        <w:rPr>
          <w:rFonts w:ascii="Times" w:hAnsi="Times" w:cs="Times"/>
          <w:b/>
        </w:rPr>
        <w:lastRenderedPageBreak/>
        <w:t xml:space="preserve">1. </w:t>
      </w:r>
      <w:r w:rsidRPr="00871BB7">
        <w:rPr>
          <w:rFonts w:ascii="Times" w:hAnsi="Times" w:cs="Times"/>
        </w:rPr>
        <w:tab/>
      </w:r>
      <w:r>
        <w:rPr>
          <w:rFonts w:ascii="Times" w:hAnsi="Times" w:cs="Times"/>
        </w:rPr>
        <w:t xml:space="preserve">Group all isotopes with zero nuclear spin into one group and mark them all as </w:t>
      </w:r>
      <w:r>
        <w:rPr>
          <w:rFonts w:ascii="Times" w:hAnsi="Times" w:cs="Times"/>
          <w:vertAlign w:val="superscript"/>
        </w:rPr>
        <w:t>184</w:t>
      </w:r>
      <w:r>
        <w:rPr>
          <w:rFonts w:ascii="Times" w:hAnsi="Times" w:cs="Times"/>
        </w:rPr>
        <w:t>W.</w:t>
      </w:r>
      <w:r w:rsidRPr="00871BB7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Then any [</w:t>
      </w:r>
      <w:proofErr w:type="gramStart"/>
      <w:r>
        <w:rPr>
          <w:rFonts w:ascii="Times" w:hAnsi="Times" w:cs="Times"/>
        </w:rPr>
        <w:t>PW</w:t>
      </w:r>
      <w:r>
        <w:rPr>
          <w:rFonts w:ascii="Times" w:hAnsi="Times" w:cs="Times"/>
          <w:vertAlign w:val="subscript"/>
        </w:rPr>
        <w:t>12</w:t>
      </w:r>
      <w:r>
        <w:rPr>
          <w:rFonts w:ascii="Times" w:hAnsi="Times" w:cs="Times"/>
        </w:rPr>
        <w:t>O</w:t>
      </w:r>
      <w:r>
        <w:rPr>
          <w:rFonts w:ascii="Times" w:hAnsi="Times" w:cs="Times"/>
          <w:vertAlign w:val="subscript"/>
        </w:rPr>
        <w:t>40</w:t>
      </w:r>
      <w:r>
        <w:rPr>
          <w:rFonts w:ascii="Times" w:hAnsi="Times" w:cs="Times"/>
        </w:rPr>
        <w:t>]</w:t>
      </w:r>
      <w:r>
        <w:rPr>
          <w:rFonts w:ascii="Times" w:hAnsi="Times" w:cs="Times"/>
          <w:vertAlign w:val="superscript"/>
        </w:rPr>
        <w:t>3</w:t>
      </w:r>
      <w:proofErr w:type="gramEnd"/>
      <w:r>
        <w:rPr>
          <w:rFonts w:ascii="Times" w:hAnsi="Times" w:cs="Times"/>
          <w:vertAlign w:val="superscript"/>
        </w:rPr>
        <w:t>-</w:t>
      </w:r>
      <w:r>
        <w:rPr>
          <w:rFonts w:ascii="Times" w:hAnsi="Times" w:cs="Times"/>
        </w:rPr>
        <w:t xml:space="preserve"> anion (PW</w:t>
      </w:r>
      <w:r>
        <w:rPr>
          <w:rFonts w:ascii="Times" w:hAnsi="Times" w:cs="Times"/>
          <w:vertAlign w:val="subscript"/>
        </w:rPr>
        <w:t>12</w:t>
      </w:r>
      <w:r>
        <w:rPr>
          <w:rFonts w:ascii="Times" w:hAnsi="Times" w:cs="Times"/>
        </w:rPr>
        <w:t>) can be written as P(</w:t>
      </w:r>
      <w:r>
        <w:rPr>
          <w:rFonts w:ascii="Times" w:hAnsi="Times" w:cs="Times"/>
          <w:vertAlign w:val="superscript"/>
        </w:rPr>
        <w:t>183</w:t>
      </w:r>
      <w:r>
        <w:rPr>
          <w:rFonts w:ascii="Times" w:hAnsi="Times" w:cs="Times"/>
        </w:rPr>
        <w:t>W)</w:t>
      </w:r>
      <w:r>
        <w:rPr>
          <w:rFonts w:ascii="Times" w:hAnsi="Times" w:cs="Times"/>
          <w:vertAlign w:val="subscript"/>
        </w:rPr>
        <w:t>k</w:t>
      </w:r>
      <w:r>
        <w:rPr>
          <w:rFonts w:ascii="Times" w:hAnsi="Times" w:cs="Times"/>
        </w:rPr>
        <w:t>(</w:t>
      </w:r>
      <w:r>
        <w:rPr>
          <w:rFonts w:ascii="Times" w:hAnsi="Times" w:cs="Times"/>
          <w:vertAlign w:val="superscript"/>
        </w:rPr>
        <w:t>184</w:t>
      </w:r>
      <w:r>
        <w:rPr>
          <w:rFonts w:ascii="Times" w:hAnsi="Times" w:cs="Times"/>
        </w:rPr>
        <w:t>W)</w:t>
      </w:r>
      <w:r>
        <w:rPr>
          <w:rFonts w:ascii="Times" w:hAnsi="Times" w:cs="Times"/>
          <w:vertAlign w:val="subscript"/>
        </w:rPr>
        <w:t>12-k</w:t>
      </w:r>
      <w:r>
        <w:rPr>
          <w:rFonts w:ascii="Times" w:hAnsi="Times" w:cs="Times"/>
        </w:rPr>
        <w:t xml:space="preserve">. </w:t>
      </w:r>
      <w:r w:rsidRPr="00871BB7">
        <w:rPr>
          <w:rFonts w:ascii="Times" w:hAnsi="Times" w:cs="Times"/>
        </w:rPr>
        <w:t>List all</w:t>
      </w:r>
      <w:r>
        <w:rPr>
          <w:rFonts w:ascii="Times" w:hAnsi="Times" w:cs="Times"/>
        </w:rPr>
        <w:t xml:space="preserve"> PW</w:t>
      </w:r>
      <w:r>
        <w:rPr>
          <w:rFonts w:ascii="Times" w:hAnsi="Times" w:cs="Times"/>
          <w:vertAlign w:val="subscript"/>
        </w:rPr>
        <w:t>12</w:t>
      </w:r>
      <w:r>
        <w:rPr>
          <w:rFonts w:ascii="Times" w:hAnsi="Times" w:cs="Times"/>
        </w:rPr>
        <w:t xml:space="preserve"> </w:t>
      </w:r>
      <w:r w:rsidRPr="00871BB7">
        <w:rPr>
          <w:rFonts w:ascii="Times" w:hAnsi="Times" w:cs="Times"/>
        </w:rPr>
        <w:t xml:space="preserve">anions </w:t>
      </w:r>
      <w:r>
        <w:rPr>
          <w:rFonts w:ascii="Times" w:hAnsi="Times" w:cs="Times"/>
        </w:rPr>
        <w:t xml:space="preserve">which </w:t>
      </w:r>
      <w:r w:rsidRPr="00871BB7">
        <w:rPr>
          <w:rFonts w:ascii="Times" w:hAnsi="Times" w:cs="Times"/>
        </w:rPr>
        <w:t>exist in aqueous solution, but differ in isotopic distribution of W. Which ani</w:t>
      </w:r>
      <w:r>
        <w:rPr>
          <w:rFonts w:ascii="Times" w:hAnsi="Times" w:cs="Times"/>
        </w:rPr>
        <w:t>ons contribute to the spectrum?</w:t>
      </w:r>
    </w:p>
    <w:p w:rsidR="00DC3EBD" w:rsidRDefault="00DC3EBD" w:rsidP="00DC3EBD">
      <w:pPr>
        <w:widowControl/>
        <w:autoSpaceDE/>
        <w:autoSpaceDN/>
        <w:adjustRightInd/>
        <w:rPr>
          <w:rFonts w:ascii="Times" w:hAnsi="Times" w:cs="Times"/>
        </w:rPr>
      </w:pPr>
    </w:p>
    <w:p w:rsidR="00DC3EBD" w:rsidRDefault="00DC3EBD" w:rsidP="00DC3EBD">
      <w:pPr>
        <w:tabs>
          <w:tab w:val="left" w:pos="360"/>
        </w:tabs>
        <w:ind w:left="360" w:hanging="360"/>
        <w:rPr>
          <w:rFonts w:ascii="Times" w:hAnsi="Times" w:cs="Times"/>
        </w:rPr>
      </w:pPr>
      <w:r w:rsidRPr="00E465B9">
        <w:rPr>
          <w:rFonts w:ascii="Times" w:hAnsi="Times" w:cs="Times"/>
          <w:b/>
        </w:rPr>
        <w:t>2.</w:t>
      </w:r>
      <w:r w:rsidRPr="00E465B9">
        <w:rPr>
          <w:rFonts w:ascii="Times" w:hAnsi="Times" w:cs="Times"/>
          <w:b/>
        </w:rPr>
        <w:tab/>
      </w:r>
      <w:r w:rsidRPr="00871BB7">
        <w:rPr>
          <w:rFonts w:ascii="Times" w:hAnsi="Times" w:cs="Times"/>
        </w:rPr>
        <w:t xml:space="preserve">Write the general expression for the multiplet observed for each individual anion with the formula </w:t>
      </w:r>
      <w:proofErr w:type="gramStart"/>
      <w:r w:rsidRPr="00871BB7">
        <w:rPr>
          <w:rFonts w:ascii="Times" w:hAnsi="Times" w:cs="Times"/>
        </w:rPr>
        <w:t>P(</w:t>
      </w:r>
      <w:proofErr w:type="gramEnd"/>
      <w:r w:rsidRPr="00871BB7">
        <w:rPr>
          <w:rFonts w:ascii="Times" w:hAnsi="Times" w:cs="Times"/>
          <w:vertAlign w:val="superscript"/>
        </w:rPr>
        <w:t>183</w:t>
      </w:r>
      <w:r w:rsidRPr="00871BB7">
        <w:rPr>
          <w:rFonts w:ascii="Times" w:hAnsi="Times" w:cs="Times"/>
        </w:rPr>
        <w:t>W)</w:t>
      </w:r>
      <w:r w:rsidRPr="00871BB7">
        <w:rPr>
          <w:rFonts w:ascii="Times" w:hAnsi="Times" w:cs="Times"/>
          <w:vertAlign w:val="subscript"/>
        </w:rPr>
        <w:t>k</w:t>
      </w:r>
      <w:r w:rsidRPr="00871BB7">
        <w:rPr>
          <w:rFonts w:ascii="Times" w:hAnsi="Times" w:cs="Times"/>
        </w:rPr>
        <w:t>(</w:t>
      </w:r>
      <w:r w:rsidRPr="00871BB7">
        <w:rPr>
          <w:rFonts w:ascii="Times" w:hAnsi="Times" w:cs="Times"/>
          <w:vertAlign w:val="superscript"/>
        </w:rPr>
        <w:t>184</w:t>
      </w:r>
      <w:r w:rsidRPr="00871BB7">
        <w:rPr>
          <w:rFonts w:ascii="Times" w:hAnsi="Times" w:cs="Times"/>
        </w:rPr>
        <w:t>W)</w:t>
      </w:r>
      <w:r w:rsidRPr="00871BB7">
        <w:rPr>
          <w:rFonts w:ascii="Times" w:hAnsi="Times" w:cs="Times"/>
          <w:vertAlign w:val="subscript"/>
        </w:rPr>
        <w:t>12-k</w:t>
      </w:r>
      <w:r w:rsidRPr="00871BB7">
        <w:rPr>
          <w:rFonts w:ascii="Times" w:hAnsi="Times" w:cs="Times"/>
        </w:rPr>
        <w:t>.</w:t>
      </w:r>
    </w:p>
    <w:p w:rsidR="00DC3EBD" w:rsidRDefault="00DC3EBD" w:rsidP="00DC3EBD">
      <w:pPr>
        <w:tabs>
          <w:tab w:val="left" w:pos="360"/>
        </w:tabs>
        <w:ind w:left="360" w:hanging="360"/>
        <w:rPr>
          <w:rFonts w:ascii="Times" w:hAnsi="Times" w:cs="Times"/>
        </w:rPr>
      </w:pPr>
    </w:p>
    <w:p w:rsidR="00DC3EBD" w:rsidRPr="00871BB7" w:rsidRDefault="00DC3EBD" w:rsidP="00DC3EBD">
      <w:pPr>
        <w:tabs>
          <w:tab w:val="left" w:pos="360"/>
        </w:tabs>
        <w:ind w:left="360" w:hanging="360"/>
      </w:pPr>
      <w:r w:rsidRPr="003F54D4">
        <w:rPr>
          <w:rFonts w:ascii="Times" w:hAnsi="Times" w:cs="Times"/>
          <w:b/>
        </w:rPr>
        <w:t xml:space="preserve">3. </w:t>
      </w:r>
      <w:r w:rsidRPr="003F54D4">
        <w:rPr>
          <w:rFonts w:ascii="Times" w:hAnsi="Times" w:cs="Times"/>
          <w:b/>
        </w:rPr>
        <w:tab/>
      </w:r>
      <w:r w:rsidRPr="00871BB7">
        <w:rPr>
          <w:rFonts w:ascii="Times" w:hAnsi="Times" w:cs="Times"/>
        </w:rPr>
        <w:t xml:space="preserve">Consider the probability mass function </w:t>
      </w:r>
      <w:r w:rsidRPr="00871BB7">
        <w:t xml:space="preserve">used to predict the probability of exactly </w:t>
      </w:r>
      <w:r w:rsidRPr="00871BB7">
        <w:rPr>
          <w:i/>
          <w:iCs/>
        </w:rPr>
        <w:t>k</w:t>
      </w:r>
      <w:r w:rsidRPr="00871BB7">
        <w:t xml:space="preserve"> successes in </w:t>
      </w:r>
      <w:r w:rsidRPr="00871BB7">
        <w:rPr>
          <w:i/>
          <w:iCs/>
        </w:rPr>
        <w:t>n</w:t>
      </w:r>
      <w:r w:rsidRPr="00871BB7">
        <w:t xml:space="preserve"> trials, where success probability in individual trial is </w:t>
      </w:r>
      <w:r w:rsidRPr="00871BB7">
        <w:rPr>
          <w:i/>
        </w:rPr>
        <w:t>p</w:t>
      </w:r>
      <w:r w:rsidRPr="00871BB7">
        <w:t>.</w:t>
      </w:r>
    </w:p>
    <w:p w:rsidR="00DC3EBD" w:rsidRPr="00871BB7" w:rsidRDefault="00DC3EBD" w:rsidP="00DC3EBD">
      <w:pPr>
        <w:tabs>
          <w:tab w:val="left" w:pos="360"/>
        </w:tabs>
        <w:ind w:left="360" w:hanging="360"/>
      </w:pPr>
    </w:p>
    <w:p w:rsidR="00DC3EBD" w:rsidRPr="00871BB7" w:rsidRDefault="00DC3EBD" w:rsidP="00DC3EBD">
      <w:pPr>
        <w:ind w:left="720" w:firstLine="720"/>
        <w:rPr>
          <w:rFonts w:ascii="Times" w:hAnsi="Times" w:cs="Times"/>
          <w:i/>
          <w:sz w:val="28"/>
          <w:szCs w:val="28"/>
        </w:rPr>
      </w:pPr>
      <m:oMath>
        <m:r>
          <w:rPr>
            <w:rFonts w:ascii="Cambria Math" w:hAnsi="Cambria Math" w:cs="Times"/>
            <w:sz w:val="28"/>
            <w:szCs w:val="28"/>
          </w:rPr>
          <m:t xml:space="preserve">f= </m:t>
        </m:r>
        <m:d>
          <m:dPr>
            <m:ctrlPr>
              <w:rPr>
                <w:rFonts w:ascii="Cambria Math" w:hAnsi="Cambria Math" w:cs="Times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"/>
                    <w:sz w:val="28"/>
                    <w:szCs w:val="28"/>
                  </w:rPr>
                  <m:t>n</m:t>
                </m:r>
              </m:num>
              <m:den>
                <m:r>
                  <w:rPr>
                    <w:rFonts w:ascii="Cambria Math" w:hAnsi="Cambria Math" w:cs="Times"/>
                    <w:sz w:val="28"/>
                    <w:szCs w:val="28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 w:cs="Times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"/>
                <w:sz w:val="28"/>
                <w:szCs w:val="28"/>
              </w:rPr>
              <m:t>(p)</m:t>
            </m:r>
          </m:e>
          <m:sup>
            <m:r>
              <w:rPr>
                <w:rFonts w:ascii="Cambria Math" w:hAnsi="Cambria Math" w:cs="Times"/>
                <w:sz w:val="28"/>
                <w:szCs w:val="28"/>
              </w:rPr>
              <m:t>k</m:t>
            </m:r>
          </m:sup>
        </m:sSup>
        <m:sSup>
          <m:sSupPr>
            <m:ctrlPr>
              <w:rPr>
                <w:rFonts w:ascii="Cambria Math" w:hAnsi="Cambria Math" w:cs="Times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"/>
                <w:sz w:val="28"/>
                <w:szCs w:val="28"/>
              </w:rPr>
              <m:t>(1-p)</m:t>
            </m:r>
          </m:e>
          <m:sup>
            <m:r>
              <w:rPr>
                <w:rFonts w:ascii="Cambria Math" w:hAnsi="Cambria Math" w:cs="Times"/>
                <w:sz w:val="28"/>
                <w:szCs w:val="28"/>
              </w:rPr>
              <m:t>n-k</m:t>
            </m:r>
          </m:sup>
        </m:sSup>
      </m:oMath>
      <w:r>
        <w:rPr>
          <w:rFonts w:ascii="Times" w:hAnsi="Times" w:cs="Times"/>
          <w:i/>
          <w:sz w:val="28"/>
          <w:szCs w:val="28"/>
        </w:rPr>
        <w:t xml:space="preserve">    </w:t>
      </w:r>
      <w:proofErr w:type="gramStart"/>
      <w:r w:rsidRPr="00654CF1">
        <w:rPr>
          <w:rFonts w:ascii="Times" w:hAnsi="Times" w:cs="Times"/>
        </w:rPr>
        <w:t>where</w:t>
      </w:r>
      <w:proofErr w:type="gramEnd"/>
      <w:r>
        <w:rPr>
          <w:rFonts w:ascii="Times" w:hAnsi="Times" w:cs="Times"/>
          <w:sz w:val="28"/>
          <w:szCs w:val="28"/>
        </w:rPr>
        <w:t xml:space="preserve">   </w:t>
      </w:r>
      <w:r w:rsidRPr="00871BB7">
        <w:rPr>
          <w:rFonts w:ascii="Times" w:hAnsi="Times" w:cs="Times"/>
          <w:sz w:val="28"/>
          <w:szCs w:val="28"/>
        </w:rPr>
        <w:t xml:space="preserve"> </w:t>
      </w:r>
      <w:r w:rsidRPr="00871BB7">
        <w:rPr>
          <w:rFonts w:ascii="Times" w:hAnsi="Times" w:cs="Times"/>
          <w:i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"/>
                <w:i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"/>
                    <w:sz w:val="32"/>
                    <w:szCs w:val="32"/>
                  </w:rPr>
                  <m:t>n</m:t>
                </m:r>
              </m:num>
              <m:den>
                <m:r>
                  <w:rPr>
                    <w:rFonts w:ascii="Cambria Math" w:hAnsi="Cambria Math" w:cs="Times"/>
                    <w:sz w:val="32"/>
                    <w:szCs w:val="32"/>
                  </w:rPr>
                  <m:t>k</m:t>
                </m:r>
              </m:den>
            </m:f>
          </m:e>
        </m:d>
        <m:r>
          <w:rPr>
            <w:rFonts w:ascii="Cambria Math" w:hAnsi="Cambria Math" w:cs="Times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"/>
                <w:sz w:val="32"/>
                <w:szCs w:val="32"/>
              </w:rPr>
              <m:t>n!</m:t>
            </m:r>
          </m:num>
          <m:den>
            <m:r>
              <w:rPr>
                <w:rFonts w:ascii="Cambria Math" w:hAnsi="Cambria Math" w:cs="Times"/>
                <w:sz w:val="32"/>
                <w:szCs w:val="32"/>
              </w:rPr>
              <m:t>k!∙</m:t>
            </m:r>
            <m:d>
              <m:dPr>
                <m:ctrlPr>
                  <w:rPr>
                    <w:rFonts w:ascii="Cambria Math" w:hAnsi="Cambria Math" w:cs="Times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"/>
                    <w:sz w:val="32"/>
                    <w:szCs w:val="32"/>
                  </w:rPr>
                  <m:t>n-k</m:t>
                </m:r>
              </m:e>
            </m:d>
            <m:r>
              <w:rPr>
                <w:rFonts w:ascii="Cambria Math" w:hAnsi="Cambria Math" w:cs="Times"/>
                <w:sz w:val="32"/>
                <w:szCs w:val="32"/>
              </w:rPr>
              <m:t>!</m:t>
            </m:r>
          </m:den>
        </m:f>
      </m:oMath>
    </w:p>
    <w:p w:rsidR="00DC3EBD" w:rsidRPr="00871BB7" w:rsidRDefault="00DC3EBD" w:rsidP="00DC3EBD">
      <w:pPr>
        <w:tabs>
          <w:tab w:val="left" w:pos="360"/>
        </w:tabs>
        <w:ind w:left="360" w:hanging="360"/>
      </w:pPr>
    </w:p>
    <w:p w:rsidR="00DC3EBD" w:rsidRDefault="00DC3EBD" w:rsidP="00DC3EBD">
      <w:pPr>
        <w:tabs>
          <w:tab w:val="left" w:pos="360"/>
        </w:tabs>
        <w:ind w:left="360" w:hanging="360"/>
      </w:pPr>
      <w:r w:rsidRPr="00871BB7">
        <w:tab/>
        <w:t>Apply this equation to calculate mole fraction of the PW</w:t>
      </w:r>
      <w:r w:rsidRPr="00871BB7">
        <w:rPr>
          <w:vertAlign w:val="subscript"/>
        </w:rPr>
        <w:t>12</w:t>
      </w:r>
      <w:r w:rsidRPr="00871BB7">
        <w:t xml:space="preserve"> anions with </w:t>
      </w:r>
      <w:r w:rsidRPr="00871BB7">
        <w:rPr>
          <w:i/>
        </w:rPr>
        <w:t>k</w:t>
      </w:r>
      <w:r w:rsidRPr="00871BB7">
        <w:t xml:space="preserve"> </w:t>
      </w:r>
      <w:r w:rsidRPr="00871BB7">
        <w:rPr>
          <w:vertAlign w:val="superscript"/>
        </w:rPr>
        <w:t>183</w:t>
      </w:r>
      <w:r w:rsidRPr="00871BB7">
        <w:t>W isotopes.</w:t>
      </w:r>
    </w:p>
    <w:p w:rsidR="00DC3EBD" w:rsidRPr="00871BB7" w:rsidRDefault="00DC3EBD" w:rsidP="00DC3EBD">
      <w:pPr>
        <w:tabs>
          <w:tab w:val="left" w:pos="360"/>
        </w:tabs>
        <w:ind w:left="360" w:hanging="360"/>
      </w:pPr>
    </w:p>
    <w:p w:rsidR="00DC3EBD" w:rsidRDefault="00DC3EBD" w:rsidP="00DC3EBD">
      <w:pPr>
        <w:tabs>
          <w:tab w:val="left" w:pos="360"/>
        </w:tabs>
        <w:ind w:left="360" w:hanging="360"/>
      </w:pPr>
      <w:r w:rsidRPr="00654CF1">
        <w:rPr>
          <w:b/>
        </w:rPr>
        <w:t xml:space="preserve">4. </w:t>
      </w:r>
      <w:r w:rsidRPr="00654CF1">
        <w:rPr>
          <w:b/>
        </w:rPr>
        <w:tab/>
      </w:r>
      <w:r>
        <w:t>Recall that the intensities within the multiplets, due to coupling with spin ½ nuclei, follow the Pascal’s triangle.</w:t>
      </w:r>
    </w:p>
    <w:p w:rsidR="00DC3EBD" w:rsidRDefault="00DC3EBD" w:rsidP="00DC3EBD">
      <w:r>
        <w:tab/>
      </w:r>
      <w:r>
        <w:tab/>
      </w:r>
      <w:r>
        <w:tab/>
      </w:r>
      <w:r>
        <w:tab/>
      </w:r>
    </w:p>
    <w:p w:rsidR="00DC3EBD" w:rsidRDefault="00DC3EBD" w:rsidP="00DC3EBD"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DC3EBD" w:rsidRDefault="00DC3EBD" w:rsidP="00DC3EBD">
      <w:r>
        <w:t xml:space="preserve">                                                                   1         1</w:t>
      </w:r>
    </w:p>
    <w:p w:rsidR="00DC3EBD" w:rsidRDefault="00DC3EBD" w:rsidP="00DC3EBD">
      <w:r>
        <w:t xml:space="preserve">                                                                1       2       1</w:t>
      </w:r>
    </w:p>
    <w:p w:rsidR="00DC3EBD" w:rsidRDefault="00DC3EBD" w:rsidP="00DC3EBD">
      <w:r>
        <w:tab/>
      </w:r>
      <w:r>
        <w:tab/>
      </w:r>
      <w:r>
        <w:tab/>
      </w:r>
      <w:r>
        <w:tab/>
      </w:r>
      <w:r>
        <w:tab/>
        <w:t xml:space="preserve"> 1     3        3     1</w:t>
      </w:r>
    </w:p>
    <w:p w:rsidR="00DC3EBD" w:rsidRDefault="00DC3EBD" w:rsidP="00DC3EBD">
      <w:r>
        <w:tab/>
      </w:r>
      <w:r>
        <w:tab/>
      </w:r>
      <w:r>
        <w:tab/>
      </w:r>
      <w:r>
        <w:tab/>
        <w:t xml:space="preserve">          1     4      6       4     1</w:t>
      </w:r>
    </w:p>
    <w:p w:rsidR="00DC3EBD" w:rsidRDefault="00DC3EBD" w:rsidP="00DC3EBD">
      <w:pPr>
        <w:tabs>
          <w:tab w:val="left" w:pos="360"/>
        </w:tabs>
      </w:pPr>
      <w:r>
        <w:tab/>
      </w:r>
      <w:proofErr w:type="gramStart"/>
      <w:r>
        <w:t>etc</w:t>
      </w:r>
      <w:proofErr w:type="gramEnd"/>
      <w:r>
        <w:t>…</w:t>
      </w:r>
    </w:p>
    <w:p w:rsidR="00DC3EBD" w:rsidRDefault="00DC3EBD" w:rsidP="00DC3EBD">
      <w:pPr>
        <w:tabs>
          <w:tab w:val="left" w:pos="360"/>
        </w:tabs>
      </w:pPr>
    </w:p>
    <w:p w:rsidR="00DC3EBD" w:rsidRDefault="00DC3EBD" w:rsidP="00DC3EBD">
      <w:pPr>
        <w:tabs>
          <w:tab w:val="left" w:pos="360"/>
        </w:tabs>
        <w:ind w:left="360" w:hanging="360"/>
      </w:pPr>
      <w:r>
        <w:tab/>
        <w:t xml:space="preserve">For example the quartet has intensities </w:t>
      </w:r>
      <w:proofErr w:type="gramStart"/>
      <w:r>
        <w:t>1 :</w:t>
      </w:r>
      <w:proofErr w:type="gramEnd"/>
      <w:r>
        <w:t xml:space="preserve"> 3 : 3 : 1. </w:t>
      </w:r>
    </w:p>
    <w:p w:rsidR="00DC3EBD" w:rsidRDefault="00DC3EBD" w:rsidP="00DC3EBD">
      <w:pPr>
        <w:tabs>
          <w:tab w:val="left" w:pos="360"/>
        </w:tabs>
        <w:ind w:left="360" w:hanging="360"/>
      </w:pPr>
    </w:p>
    <w:p w:rsidR="00DC3EBD" w:rsidRPr="006544F3" w:rsidRDefault="00DC3EBD" w:rsidP="00DC3EBD">
      <w:pPr>
        <w:tabs>
          <w:tab w:val="left" w:pos="360"/>
        </w:tabs>
        <w:ind w:left="360" w:hanging="360"/>
      </w:pPr>
      <w:r>
        <w:tab/>
        <w:t xml:space="preserve">In order to use the triangle to predict relative intensities of all signals in the observed spectrum, these values need to be normalized, so that the sum of all signals for a given multiplet equals to 1. For example, in the triplet, 1:2:1 needs to be replaced by 0.25:0.5:0.25. Calculate the normalized intensities for the Pascal triangle. Limit your calculations to the multiplets originating from the anions with mole fractions greater than 0.001. </w:t>
      </w:r>
    </w:p>
    <w:p w:rsidR="00DC3EBD" w:rsidRPr="00871BB7" w:rsidRDefault="00DC3EBD" w:rsidP="00DC3EBD">
      <w:pPr>
        <w:tabs>
          <w:tab w:val="left" w:pos="360"/>
        </w:tabs>
        <w:ind w:left="360" w:hanging="360"/>
        <w:rPr>
          <w:rFonts w:ascii="Times" w:hAnsi="Times" w:cs="Times"/>
        </w:rPr>
      </w:pPr>
    </w:p>
    <w:p w:rsidR="00DC3EBD" w:rsidRDefault="00DC3EBD" w:rsidP="00DC3EBD">
      <w:pPr>
        <w:tabs>
          <w:tab w:val="left" w:pos="360"/>
        </w:tabs>
        <w:ind w:left="360" w:hanging="360"/>
      </w:pPr>
      <w:r w:rsidRPr="00E20D51">
        <w:rPr>
          <w:b/>
        </w:rPr>
        <w:t>5.</w:t>
      </w:r>
      <w:r w:rsidRPr="00E20D51">
        <w:rPr>
          <w:b/>
        </w:rPr>
        <w:tab/>
      </w:r>
      <w:r>
        <w:t xml:space="preserve">Combine your answers in 3 and </w:t>
      </w:r>
      <w:proofErr w:type="gramStart"/>
      <w:r>
        <w:t>4  to</w:t>
      </w:r>
      <w:proofErr w:type="gramEnd"/>
      <w:r>
        <w:t xml:space="preserve"> calculate the relative intensities of all signals within each multiplet.</w:t>
      </w:r>
    </w:p>
    <w:p w:rsidR="00DC3EBD" w:rsidRDefault="00DC3EBD" w:rsidP="00DC3EBD">
      <w:pPr>
        <w:tabs>
          <w:tab w:val="left" w:pos="360"/>
        </w:tabs>
        <w:ind w:left="360" w:hanging="360"/>
      </w:pPr>
    </w:p>
    <w:p w:rsidR="00DC3EBD" w:rsidRDefault="00DC3EBD" w:rsidP="00DC3EBD">
      <w:pPr>
        <w:tabs>
          <w:tab w:val="left" w:pos="360"/>
        </w:tabs>
        <w:ind w:left="360" w:hanging="360"/>
      </w:pPr>
      <w:r w:rsidRPr="006544F3">
        <w:rPr>
          <w:b/>
        </w:rPr>
        <w:t>6.</w:t>
      </w:r>
      <w:r>
        <w:tab/>
        <w:t xml:space="preserve">All multiplets are centered </w:t>
      </w:r>
      <w:proofErr w:type="gramStart"/>
      <w:r>
        <w:t>around</w:t>
      </w:r>
      <w:proofErr w:type="gramEnd"/>
      <w:r>
        <w:t xml:space="preserve"> the same chemical shift. As a result some signals from different multiplets superimpose. Draw the pattern demonstrating all spectra, showing which signals superimpose. Calculate the expected intensities for all signals in the final spectrum.</w:t>
      </w:r>
    </w:p>
    <w:p w:rsidR="00DC3EBD" w:rsidRDefault="00DC3EBD" w:rsidP="00DC3EBD">
      <w:pPr>
        <w:widowControl/>
        <w:tabs>
          <w:tab w:val="left" w:pos="360"/>
        </w:tabs>
        <w:autoSpaceDE/>
        <w:autoSpaceDN/>
        <w:adjustRightInd/>
        <w:ind w:left="360" w:hanging="360"/>
        <w:rPr>
          <w:rFonts w:ascii="Times" w:hAnsi="Times" w:cs="Times"/>
        </w:rPr>
      </w:pPr>
    </w:p>
    <w:p w:rsidR="00DC3EBD" w:rsidRDefault="00DC3EBD" w:rsidP="00DC3EBD">
      <w:pPr>
        <w:tabs>
          <w:tab w:val="left" w:pos="360"/>
        </w:tabs>
        <w:ind w:left="360" w:hanging="360"/>
      </w:pPr>
      <w:r w:rsidRPr="006544F3">
        <w:rPr>
          <w:b/>
        </w:rPr>
        <w:t>7.</w:t>
      </w:r>
      <w:r>
        <w:tab/>
        <w:t>Fully interpret the observed spectrum and the intensities of all peaks.</w:t>
      </w:r>
    </w:p>
    <w:p w:rsidR="00DC3EBD" w:rsidRDefault="00DC3EBD" w:rsidP="00DC3EBD"/>
    <w:p w:rsidR="00165E2E" w:rsidRPr="00DC3EBD" w:rsidRDefault="002A7FBA" w:rsidP="00DC3EBD">
      <w:pPr>
        <w:widowControl/>
        <w:tabs>
          <w:tab w:val="left" w:pos="360"/>
        </w:tabs>
        <w:autoSpaceDE/>
        <w:autoSpaceDN/>
        <w:adjustRightInd/>
        <w:rPr>
          <w:rFonts w:ascii="Times" w:hAnsi="Times" w:cs="Times"/>
        </w:rPr>
      </w:pPr>
    </w:p>
    <w:sectPr w:rsidR="00165E2E" w:rsidRPr="00DC3EB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1D" w:rsidRDefault="00617B1D" w:rsidP="00A56F96">
      <w:r>
        <w:separator/>
      </w:r>
    </w:p>
  </w:endnote>
  <w:endnote w:type="continuationSeparator" w:id="0">
    <w:p w:rsidR="00617B1D" w:rsidRDefault="00617B1D" w:rsidP="00A5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1D" w:rsidRDefault="00617B1D" w:rsidP="00A56F96">
      <w:r>
        <w:separator/>
      </w:r>
    </w:p>
  </w:footnote>
  <w:footnote w:type="continuationSeparator" w:id="0">
    <w:p w:rsidR="00617B1D" w:rsidRDefault="00617B1D" w:rsidP="00A56F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96" w:rsidRPr="00A56F96" w:rsidRDefault="00A56F96" w:rsidP="00A56F96">
    <w:pPr>
      <w:widowControl/>
      <w:autoSpaceDE/>
      <w:autoSpaceDN/>
      <w:adjustRightInd/>
      <w:jc w:val="both"/>
      <w:rPr>
        <w:rFonts w:ascii="Times" w:eastAsia="Times" w:hAnsi="Times"/>
        <w:szCs w:val="20"/>
      </w:rPr>
    </w:pPr>
    <w:r w:rsidRPr="00A56F96">
      <w:rPr>
        <w:rFonts w:ascii="Arial" w:eastAsia="Times" w:hAnsi="Arial"/>
        <w:sz w:val="20"/>
        <w:szCs w:val="20"/>
      </w:rPr>
      <w:t xml:space="preserve">Created by Mariusz Kozik, Canisius College (kozik@canisius.edu) and posted on </w:t>
    </w:r>
    <w:proofErr w:type="spellStart"/>
    <w:r w:rsidRPr="00A56F96">
      <w:rPr>
        <w:rFonts w:ascii="Arial" w:eastAsia="Times" w:hAnsi="Arial"/>
        <w:sz w:val="20"/>
        <w:szCs w:val="20"/>
      </w:rPr>
      <w:t>VIPEr</w:t>
    </w:r>
    <w:proofErr w:type="spellEnd"/>
    <w:r w:rsidRPr="00A56F96">
      <w:rPr>
        <w:rFonts w:ascii="Arial" w:eastAsia="Times" w:hAnsi="Arial"/>
        <w:sz w:val="20"/>
        <w:szCs w:val="20"/>
      </w:rPr>
      <w:t xml:space="preserve"> (</w:t>
    </w:r>
    <w:hyperlink r:id="rId1" w:history="1">
      <w:r w:rsidRPr="00A56F96">
        <w:rPr>
          <w:rFonts w:ascii="Arial" w:eastAsia="Times" w:hAnsi="Arial"/>
          <w:color w:val="0000FF"/>
          <w:sz w:val="20"/>
          <w:szCs w:val="20"/>
          <w:u w:val="single"/>
        </w:rPr>
        <w:t>www.ionicviper.org</w:t>
      </w:r>
    </w:hyperlink>
    <w:r w:rsidRPr="00A56F96">
      <w:rPr>
        <w:rFonts w:ascii="Arial" w:eastAsia="Times" w:hAnsi="Arial"/>
        <w:sz w:val="20"/>
        <w:szCs w:val="20"/>
      </w:rPr>
      <w:t xml:space="preserve">) on </w:t>
    </w:r>
    <w:r>
      <w:rPr>
        <w:rFonts w:ascii="Arial" w:eastAsia="Times" w:hAnsi="Arial"/>
        <w:sz w:val="20"/>
        <w:szCs w:val="20"/>
      </w:rPr>
      <w:t>July 15</w:t>
    </w:r>
    <w:r w:rsidRPr="00A56F96">
      <w:rPr>
        <w:rFonts w:ascii="Arial" w:eastAsia="Times" w:hAnsi="Arial"/>
        <w:sz w:val="20"/>
        <w:szCs w:val="20"/>
      </w:rPr>
      <w:t xml:space="preserve">, 2014.  Copyright Mariusz Kozik 2014.  This work is licensed under the Creative </w:t>
    </w:r>
    <w:r w:rsidRPr="00A56F96">
      <w:rPr>
        <w:rFonts w:ascii="Arial" w:eastAsia="Times" w:hAnsi="Arial" w:cs="Arial"/>
        <w:sz w:val="20"/>
        <w:szCs w:val="20"/>
      </w:rPr>
      <w:t>Commons Attribution-</w:t>
    </w:r>
    <w:proofErr w:type="spellStart"/>
    <w:r w:rsidRPr="00A56F96">
      <w:rPr>
        <w:rFonts w:ascii="Arial" w:eastAsia="Times" w:hAnsi="Arial" w:cs="Arial"/>
        <w:sz w:val="20"/>
        <w:szCs w:val="20"/>
      </w:rPr>
      <w:t>NonCommerical</w:t>
    </w:r>
    <w:proofErr w:type="spellEnd"/>
    <w:r w:rsidRPr="00A56F96">
      <w:rPr>
        <w:rFonts w:ascii="Arial" w:eastAsia="Times" w:hAnsi="Arial" w:cs="Arial"/>
        <w:sz w:val="20"/>
        <w:szCs w:val="20"/>
      </w:rPr>
      <w:t>-</w:t>
    </w:r>
    <w:proofErr w:type="spellStart"/>
    <w:r w:rsidRPr="00A56F96">
      <w:rPr>
        <w:rFonts w:ascii="Arial" w:eastAsia="Times" w:hAnsi="Arial" w:cs="Arial"/>
        <w:sz w:val="20"/>
        <w:szCs w:val="20"/>
      </w:rPr>
      <w:t>ShareAlike</w:t>
    </w:r>
    <w:proofErr w:type="spellEnd"/>
    <w:r w:rsidRPr="00A56F96">
      <w:rPr>
        <w:rFonts w:ascii="Arial" w:eastAsia="Times" w:hAnsi="Arial" w:cs="Arial"/>
        <w:sz w:val="20"/>
        <w:szCs w:val="20"/>
      </w:rPr>
      <w:t xml:space="preserve"> 3.0 </w:t>
    </w:r>
    <w:proofErr w:type="spellStart"/>
    <w:r w:rsidRPr="00A56F96">
      <w:rPr>
        <w:rFonts w:ascii="Arial" w:eastAsia="Times" w:hAnsi="Arial" w:cs="Arial"/>
        <w:sz w:val="20"/>
        <w:szCs w:val="20"/>
      </w:rPr>
      <w:t>Unported</w:t>
    </w:r>
    <w:proofErr w:type="spellEnd"/>
    <w:r w:rsidRPr="00A56F96">
      <w:rPr>
        <w:rFonts w:ascii="Times" w:eastAsia="Times" w:hAnsi="Times"/>
        <w:szCs w:val="20"/>
      </w:rPr>
      <w:t xml:space="preserve"> </w:t>
    </w:r>
    <w:r w:rsidRPr="00A56F96">
      <w:rPr>
        <w:rFonts w:ascii="Arial" w:eastAsia="Times" w:hAnsi="Arial"/>
        <w:sz w:val="20"/>
        <w:szCs w:val="20"/>
      </w:rPr>
      <w:t xml:space="preserve">License. To view a copy of this license visit </w:t>
    </w:r>
    <w:hyperlink r:id="rId2" w:history="1">
      <w:r w:rsidRPr="00A56F96">
        <w:rPr>
          <w:rFonts w:ascii="Arial" w:eastAsia="Times" w:hAnsi="Arial"/>
          <w:color w:val="0000FF"/>
          <w:sz w:val="20"/>
          <w:szCs w:val="20"/>
          <w:u w:val="single"/>
        </w:rPr>
        <w:t>http://creativecommons.org/about/license/</w:t>
      </w:r>
    </w:hyperlink>
    <w:r w:rsidRPr="00A56F96">
      <w:rPr>
        <w:rFonts w:ascii="Arial" w:eastAsia="Times" w:hAnsi="Arial"/>
        <w:sz w:val="20"/>
        <w:szCs w:val="20"/>
      </w:rPr>
      <w:t>.</w:t>
    </w:r>
  </w:p>
  <w:p w:rsidR="00A56F96" w:rsidRDefault="00A56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BD"/>
    <w:rsid w:val="001915FB"/>
    <w:rsid w:val="002A7FBA"/>
    <w:rsid w:val="00617B1D"/>
    <w:rsid w:val="009779C1"/>
    <w:rsid w:val="00A56F96"/>
    <w:rsid w:val="00D5202B"/>
    <w:rsid w:val="00DC3EBD"/>
    <w:rsid w:val="00D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BD"/>
    <w:pPr>
      <w:widowControl w:val="0"/>
      <w:autoSpaceDE w:val="0"/>
      <w:autoSpaceDN w:val="0"/>
      <w:adjustRightInd w:val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EB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6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56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96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BD"/>
    <w:pPr>
      <w:widowControl w:val="0"/>
      <w:autoSpaceDE w:val="0"/>
      <w:autoSpaceDN w:val="0"/>
      <w:adjustRightInd w:val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EB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6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56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9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viper.org" TargetMode="External"/><Relationship Id="rId2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3104</Characters>
  <Application>Microsoft Macintosh Word</Application>
  <DocSecurity>0</DocSecurity>
  <Lines>25</Lines>
  <Paragraphs>7</Paragraphs>
  <ScaleCrop>false</ScaleCrop>
  <Company>Canisius College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Hilary Eppley</cp:lastModifiedBy>
  <cp:revision>2</cp:revision>
  <dcterms:created xsi:type="dcterms:W3CDTF">2014-07-17T20:33:00Z</dcterms:created>
  <dcterms:modified xsi:type="dcterms:W3CDTF">2014-07-17T20:33:00Z</dcterms:modified>
</cp:coreProperties>
</file>