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CF8F" w14:textId="77777777" w:rsidR="00FA2866" w:rsidRPr="00474F72" w:rsidRDefault="000D7F78" w:rsidP="00007D18">
      <w:pPr>
        <w:spacing w:before="223" w:line="278" w:lineRule="exact"/>
        <w:jc w:val="center"/>
        <w:textAlignment w:val="baseline"/>
        <w:rPr>
          <w:rFonts w:ascii="Cambria" w:eastAsia="Times New Roman" w:hAnsi="Cambria"/>
          <w:b/>
          <w:i/>
          <w:color w:val="000000"/>
          <w:sz w:val="24"/>
        </w:rPr>
      </w:pPr>
      <w:r w:rsidRPr="00474F72">
        <w:rPr>
          <w:rFonts w:ascii="Cambria" w:eastAsia="Times New Roman" w:hAnsi="Cambria"/>
          <w:b/>
          <w:i/>
          <w:color w:val="000000"/>
          <w:sz w:val="24"/>
        </w:rPr>
        <w:t>Reading the Literature</w:t>
      </w:r>
    </w:p>
    <w:p w14:paraId="5C829337" w14:textId="77777777" w:rsidR="00FA2866" w:rsidRPr="00474F72" w:rsidRDefault="000D7F78" w:rsidP="00007D18">
      <w:pPr>
        <w:spacing w:before="256" w:line="289" w:lineRule="exact"/>
        <w:ind w:firstLine="360"/>
        <w:textAlignment w:val="baseline"/>
        <w:rPr>
          <w:rFonts w:ascii="Cambria" w:eastAsia="Times New Roman" w:hAnsi="Cambria"/>
          <w:color w:val="000000"/>
          <w:sz w:val="24"/>
        </w:rPr>
      </w:pPr>
      <w:r w:rsidRPr="00474F72">
        <w:rPr>
          <w:rFonts w:ascii="Cambria" w:eastAsia="Times New Roman" w:hAnsi="Cambria"/>
          <w:color w:val="000000"/>
          <w:sz w:val="24"/>
        </w:rPr>
        <w:t xml:space="preserve">Reading a technical paper for the first time is probably the most difficult thing you’ll ever do. I remember reading mine for the first time... and the second... and the third time... etc.! I think I read the thing about 10 times, and still was having a hard time connecting the dots. What I’ve learned over the years (and many, many, </w:t>
      </w:r>
      <w:r w:rsidRPr="00474F72">
        <w:rPr>
          <w:rFonts w:ascii="Cambria" w:eastAsia="Times New Roman" w:hAnsi="Cambria"/>
          <w:b/>
          <w:i/>
          <w:color w:val="000000"/>
          <w:sz w:val="24"/>
        </w:rPr>
        <w:t xml:space="preserve">many </w:t>
      </w:r>
      <w:r w:rsidRPr="00474F72">
        <w:rPr>
          <w:rFonts w:ascii="Cambria" w:eastAsia="Times New Roman" w:hAnsi="Cambria"/>
          <w:color w:val="000000"/>
          <w:sz w:val="24"/>
        </w:rPr>
        <w:t>papers later!) is that the best way to approach a paper is as follows.</w:t>
      </w:r>
    </w:p>
    <w:p w14:paraId="18567EF9" w14:textId="77777777" w:rsidR="00FA2866" w:rsidRPr="00474F72" w:rsidRDefault="000D7F78" w:rsidP="00007D18">
      <w:pPr>
        <w:numPr>
          <w:ilvl w:val="0"/>
          <w:numId w:val="1"/>
        </w:numPr>
        <w:tabs>
          <w:tab w:val="clear" w:pos="216"/>
          <w:tab w:val="left" w:pos="576"/>
        </w:tabs>
        <w:spacing w:before="192" w:line="293" w:lineRule="exact"/>
        <w:ind w:left="576" w:hanging="216"/>
        <w:textAlignment w:val="baseline"/>
        <w:rPr>
          <w:rFonts w:ascii="Cambria" w:eastAsia="Times New Roman" w:hAnsi="Cambria"/>
          <w:b/>
          <w:color w:val="000000"/>
          <w:sz w:val="24"/>
        </w:rPr>
      </w:pPr>
      <w:r w:rsidRPr="00474F72">
        <w:rPr>
          <w:rFonts w:ascii="Cambria" w:eastAsia="Times New Roman" w:hAnsi="Cambria"/>
          <w:b/>
          <w:color w:val="000000"/>
          <w:sz w:val="24"/>
        </w:rPr>
        <w:t xml:space="preserve">Read the abstract first. </w:t>
      </w:r>
      <w:r w:rsidRPr="00474F72">
        <w:rPr>
          <w:rFonts w:ascii="Cambria" w:eastAsia="Times New Roman" w:hAnsi="Cambria"/>
          <w:color w:val="000000"/>
          <w:sz w:val="24"/>
        </w:rPr>
        <w:t>The abstract contains a good summary of information in the paper, without gory details.</w:t>
      </w:r>
    </w:p>
    <w:p w14:paraId="4951CFB4" w14:textId="77777777" w:rsidR="00FA2866" w:rsidRPr="00474F72" w:rsidRDefault="000D7F78" w:rsidP="00007D18">
      <w:pPr>
        <w:numPr>
          <w:ilvl w:val="0"/>
          <w:numId w:val="1"/>
        </w:numPr>
        <w:tabs>
          <w:tab w:val="clear" w:pos="216"/>
          <w:tab w:val="left" w:pos="576"/>
        </w:tabs>
        <w:spacing w:before="195" w:line="290" w:lineRule="exact"/>
        <w:ind w:left="576" w:hanging="216"/>
        <w:textAlignment w:val="baseline"/>
        <w:rPr>
          <w:rFonts w:ascii="Cambria" w:eastAsia="Times New Roman" w:hAnsi="Cambria"/>
          <w:b/>
          <w:color w:val="000000"/>
          <w:sz w:val="24"/>
        </w:rPr>
      </w:pPr>
      <w:r w:rsidRPr="00474F72">
        <w:rPr>
          <w:rFonts w:ascii="Cambria" w:eastAsia="Times New Roman" w:hAnsi="Cambria"/>
          <w:b/>
          <w:color w:val="000000"/>
          <w:sz w:val="24"/>
        </w:rPr>
        <w:t xml:space="preserve">Read the introduction second. </w:t>
      </w:r>
      <w:r w:rsidRPr="00474F72">
        <w:rPr>
          <w:rFonts w:ascii="Cambria" w:eastAsia="Times New Roman" w:hAnsi="Cambria"/>
          <w:color w:val="000000"/>
          <w:sz w:val="24"/>
        </w:rPr>
        <w:t>The introduction contains to a good paper contains the “elevator pitch”–the reason the paper is written, and the reason you should care. It should also give you a framework for what’s to come in the paper.</w:t>
      </w:r>
    </w:p>
    <w:p w14:paraId="6299FD89" w14:textId="77777777" w:rsidR="00FA2866" w:rsidRPr="00474F72" w:rsidRDefault="000D7F78" w:rsidP="00007D18">
      <w:pPr>
        <w:numPr>
          <w:ilvl w:val="0"/>
          <w:numId w:val="1"/>
        </w:numPr>
        <w:tabs>
          <w:tab w:val="clear" w:pos="216"/>
          <w:tab w:val="left" w:pos="576"/>
        </w:tabs>
        <w:spacing w:before="196" w:line="289" w:lineRule="exact"/>
        <w:ind w:left="576" w:hanging="216"/>
        <w:textAlignment w:val="baseline"/>
        <w:rPr>
          <w:rFonts w:ascii="Cambria" w:eastAsia="Times New Roman" w:hAnsi="Cambria"/>
          <w:b/>
          <w:color w:val="000000"/>
          <w:sz w:val="24"/>
        </w:rPr>
      </w:pPr>
      <w:r w:rsidRPr="00474F72">
        <w:rPr>
          <w:rFonts w:ascii="Cambria" w:eastAsia="Times New Roman" w:hAnsi="Cambria"/>
          <w:b/>
          <w:color w:val="000000"/>
          <w:sz w:val="24"/>
        </w:rPr>
        <w:t xml:space="preserve">Read the conclusion third. </w:t>
      </w:r>
      <w:r w:rsidRPr="00474F72">
        <w:rPr>
          <w:rFonts w:ascii="Cambria" w:eastAsia="Times New Roman" w:hAnsi="Cambria"/>
          <w:color w:val="000000"/>
          <w:sz w:val="24"/>
        </w:rPr>
        <w:t>Wait, what?!? Yup. Read the conclusion. The stuff in the middle of any paper–the experimental details, the data, the discussion–are all great, but when you’re reading a paper for the first time (and when you may not have any experience in the particular area of the paper) the stuff in the middle can be pretty dense and boring. A conclusion, though, should succinctly state what was done in the “middle stuff” of the paper, while drawing tying up what was introduced in the conclusion.</w:t>
      </w:r>
    </w:p>
    <w:p w14:paraId="001A1B3C" w14:textId="70D3E869" w:rsidR="00FA2866" w:rsidRPr="00474F72" w:rsidRDefault="000D7F78" w:rsidP="00007D18">
      <w:pPr>
        <w:numPr>
          <w:ilvl w:val="0"/>
          <w:numId w:val="1"/>
        </w:numPr>
        <w:tabs>
          <w:tab w:val="clear" w:pos="216"/>
          <w:tab w:val="left" w:pos="576"/>
        </w:tabs>
        <w:spacing w:before="201" w:after="6492" w:line="277" w:lineRule="exact"/>
        <w:ind w:left="576" w:hanging="216"/>
        <w:textAlignment w:val="baseline"/>
        <w:rPr>
          <w:rFonts w:eastAsia="Times New Roman"/>
          <w:color w:val="000000"/>
          <w:sz w:val="24"/>
        </w:rPr>
      </w:pPr>
      <w:r w:rsidRPr="00474F72">
        <w:rPr>
          <w:rFonts w:ascii="Cambria" w:eastAsia="Times New Roman" w:hAnsi="Cambria"/>
          <w:b/>
          <w:color w:val="000000"/>
          <w:sz w:val="24"/>
        </w:rPr>
        <w:t xml:space="preserve">Read the paper. </w:t>
      </w:r>
      <w:r w:rsidRPr="00474F72">
        <w:rPr>
          <w:rFonts w:ascii="Cambria" w:eastAsia="Times New Roman" w:hAnsi="Cambria"/>
          <w:color w:val="000000"/>
          <w:sz w:val="24"/>
        </w:rPr>
        <w:t>Yeah, you still need to read the paper, and there’ll be lots of little details that will leave you scratching your head. But now you should have an idea of what the paper is about, and can read the paper a bit differently than if you just approached it cold.</w:t>
      </w:r>
    </w:p>
    <w:sectPr w:rsidR="00FA2866" w:rsidRPr="00474F72" w:rsidSect="00474F72">
      <w:head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69D2" w14:textId="77777777" w:rsidR="003C3F82" w:rsidRDefault="003C3F82" w:rsidP="00474F72">
      <w:r>
        <w:separator/>
      </w:r>
    </w:p>
  </w:endnote>
  <w:endnote w:type="continuationSeparator" w:id="0">
    <w:p w14:paraId="16BE39CE" w14:textId="77777777" w:rsidR="003C3F82" w:rsidRDefault="003C3F82" w:rsidP="0047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0B77" w14:textId="77777777" w:rsidR="003C3F82" w:rsidRDefault="003C3F82" w:rsidP="00474F72">
      <w:r>
        <w:separator/>
      </w:r>
    </w:p>
  </w:footnote>
  <w:footnote w:type="continuationSeparator" w:id="0">
    <w:p w14:paraId="65B5A999" w14:textId="77777777" w:rsidR="003C3F82" w:rsidRDefault="003C3F82" w:rsidP="0047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3A4E" w14:textId="41FAAADF" w:rsidR="009105B4" w:rsidRPr="009105B4" w:rsidRDefault="009105B4" w:rsidP="009105B4">
    <w:pPr>
      <w:pStyle w:val="Header"/>
      <w:rPr>
        <w:sz w:val="20"/>
        <w:szCs w:val="20"/>
      </w:rPr>
    </w:pPr>
    <w:r w:rsidRPr="004B3D93">
      <w:rPr>
        <w:rFonts w:ascii="Arial" w:hAnsi="Arial" w:cs="Arial"/>
        <w:sz w:val="20"/>
        <w:szCs w:val="20"/>
      </w:rPr>
      <w:t xml:space="preserve">Created by Jason </w:t>
    </w:r>
    <w:proofErr w:type="spellStart"/>
    <w:r w:rsidRPr="004B3D93">
      <w:rPr>
        <w:rFonts w:ascii="Arial" w:hAnsi="Arial" w:cs="Arial"/>
        <w:sz w:val="20"/>
        <w:szCs w:val="20"/>
      </w:rPr>
      <w:t>D’Acchioli</w:t>
    </w:r>
    <w:proofErr w:type="spellEnd"/>
    <w:r w:rsidRPr="004B3D93">
      <w:rPr>
        <w:rFonts w:ascii="Arial" w:hAnsi="Arial" w:cs="Arial"/>
        <w:sz w:val="20"/>
        <w:szCs w:val="20"/>
      </w:rPr>
      <w:t xml:space="preserve">, University of Wisconsin-Stevens Point, jdacchio@uwsp.edu, and posted on </w:t>
    </w:r>
    <w:proofErr w:type="spellStart"/>
    <w:r w:rsidRPr="004B3D93">
      <w:rPr>
        <w:rFonts w:ascii="Arial" w:hAnsi="Arial" w:cs="Arial"/>
        <w:sz w:val="20"/>
        <w:szCs w:val="20"/>
      </w:rPr>
      <w:t>VIPEr</w:t>
    </w:r>
    <w:proofErr w:type="spellEnd"/>
    <w:r w:rsidRPr="004B3D93">
      <w:rPr>
        <w:rFonts w:ascii="Arial" w:hAnsi="Arial" w:cs="Arial"/>
        <w:sz w:val="20"/>
        <w:szCs w:val="20"/>
      </w:rPr>
      <w:t xml:space="preserve"> (www.ionicviper.org) on June 27, 2022. Copyright 2022. This work is licensed under the Creative Commons Attribution Non-commercial Share Alike License. To view a copy of this license visit http://creativecommons.org/licenses</w:t>
    </w:r>
    <w:r>
      <w:rPr>
        <w:rFonts w:ascii="Arial" w:hAnsi="Arial" w:cs="Arial"/>
        <w:sz w:val="20"/>
        <w:szCs w:val="20"/>
      </w:rPr>
      <w:t>/</w:t>
    </w:r>
  </w:p>
  <w:p w14:paraId="4A3A19D2" w14:textId="77777777" w:rsidR="009105B4" w:rsidRDefault="009105B4" w:rsidP="00474F72">
    <w:pPr>
      <w:spacing w:before="14" w:line="278" w:lineRule="exact"/>
      <w:jc w:val="right"/>
      <w:textAlignment w:val="baseline"/>
      <w:rPr>
        <w:rFonts w:ascii="Cambria" w:eastAsia="Times New Roman" w:hAnsi="Cambria"/>
        <w:b/>
        <w:i/>
        <w:color w:val="000000"/>
        <w:sz w:val="24"/>
      </w:rPr>
    </w:pPr>
  </w:p>
  <w:p w14:paraId="227E4B0F" w14:textId="32999D73" w:rsidR="00474F72" w:rsidRPr="00474F72" w:rsidRDefault="00474F72" w:rsidP="00474F72">
    <w:pPr>
      <w:spacing w:before="14" w:line="278" w:lineRule="exact"/>
      <w:jc w:val="right"/>
      <w:textAlignment w:val="baseline"/>
      <w:rPr>
        <w:rFonts w:ascii="Cambria" w:eastAsia="Times New Roman" w:hAnsi="Cambria"/>
        <w:b/>
        <w:i/>
        <w:color w:val="000000"/>
        <w:sz w:val="24"/>
      </w:rPr>
    </w:pPr>
    <w:r w:rsidRPr="00474F72">
      <w:rPr>
        <w:rFonts w:ascii="Cambria" w:eastAsia="Times New Roman" w:hAnsi="Cambria"/>
        <w:b/>
        <w:i/>
        <w:color w:val="000000"/>
        <w:sz w:val="24"/>
      </w:rPr>
      <w:t>Professor Jason S. D’Acchioli</w:t>
    </w:r>
  </w:p>
  <w:p w14:paraId="62124D0C" w14:textId="5AD1820F" w:rsidR="00474F72" w:rsidRPr="00474F72" w:rsidRDefault="00474F72" w:rsidP="00474F72">
    <w:pPr>
      <w:spacing w:before="10" w:after="18" w:line="278" w:lineRule="exact"/>
      <w:jc w:val="right"/>
      <w:textAlignment w:val="baseline"/>
      <w:rPr>
        <w:rFonts w:ascii="Cambria" w:eastAsia="Times New Roman" w:hAnsi="Cambria"/>
        <w:b/>
        <w:i/>
        <w:color w:val="000000"/>
        <w:sz w:val="24"/>
      </w:rPr>
    </w:pPr>
    <w:r w:rsidRPr="00474F72">
      <w:rPr>
        <w:rFonts w:ascii="Cambria" w:eastAsia="Times New Roman" w:hAnsi="Cambria"/>
        <w:b/>
        <w:i/>
        <w:color w:val="000000"/>
        <w:sz w:val="24"/>
      </w:rPr>
      <w:t xml:space="preserve">Chemistry </w:t>
    </w:r>
    <w:r w:rsidR="009105B4">
      <w:rPr>
        <w:rFonts w:ascii="Cambria" w:eastAsia="Times New Roman" w:hAnsi="Cambria"/>
        <w:b/>
        <w:i/>
        <w:color w:val="000000"/>
        <w:sz w:val="24"/>
      </w:rPr>
      <w:t>xxx</w:t>
    </w:r>
  </w:p>
  <w:p w14:paraId="5A2F3FCA" w14:textId="77777777" w:rsidR="00474F72" w:rsidRDefault="0047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3080"/>
    <w:multiLevelType w:val="multilevel"/>
    <w:tmpl w:val="B4F84404"/>
    <w:lvl w:ilvl="0">
      <w:start w:val="1"/>
      <w:numFmt w:val="decimal"/>
      <w:lvlText w:val="%1."/>
      <w:lvlJc w:val="left"/>
      <w:pPr>
        <w:tabs>
          <w:tab w:val="left" w:pos="21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124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6"/>
    <w:rsid w:val="00007D18"/>
    <w:rsid w:val="000D7F78"/>
    <w:rsid w:val="003C3F82"/>
    <w:rsid w:val="00474F72"/>
    <w:rsid w:val="009105B4"/>
    <w:rsid w:val="00C43EE6"/>
    <w:rsid w:val="00FA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BC7B"/>
  <w15:docId w15:val="{274B1C8C-1F1C-BD4D-8D52-4D48C8CC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F72"/>
    <w:pPr>
      <w:tabs>
        <w:tab w:val="center" w:pos="4680"/>
        <w:tab w:val="right" w:pos="9360"/>
      </w:tabs>
    </w:pPr>
  </w:style>
  <w:style w:type="character" w:customStyle="1" w:styleId="HeaderChar">
    <w:name w:val="Header Char"/>
    <w:basedOn w:val="DefaultParagraphFont"/>
    <w:link w:val="Header"/>
    <w:uiPriority w:val="99"/>
    <w:rsid w:val="00474F72"/>
  </w:style>
  <w:style w:type="paragraph" w:styleId="Footer">
    <w:name w:val="footer"/>
    <w:basedOn w:val="Normal"/>
    <w:link w:val="FooterChar"/>
    <w:uiPriority w:val="99"/>
    <w:unhideWhenUsed/>
    <w:rsid w:val="00474F72"/>
    <w:pPr>
      <w:tabs>
        <w:tab w:val="center" w:pos="4680"/>
        <w:tab w:val="right" w:pos="9360"/>
      </w:tabs>
    </w:pPr>
  </w:style>
  <w:style w:type="character" w:customStyle="1" w:styleId="FooterChar">
    <w:name w:val="Footer Char"/>
    <w:basedOn w:val="DefaultParagraphFont"/>
    <w:link w:val="Footer"/>
    <w:uiPriority w:val="99"/>
    <w:rsid w:val="0047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D'Acchioli, Jason</cp:lastModifiedBy>
  <cp:revision>3</cp:revision>
  <dcterms:created xsi:type="dcterms:W3CDTF">2022-06-27T20:53:00Z</dcterms:created>
  <dcterms:modified xsi:type="dcterms:W3CDTF">2022-06-27T20:53:00Z</dcterms:modified>
</cp:coreProperties>
</file>