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E2F24" w14:textId="547EEAD4" w:rsidR="00867089" w:rsidRPr="004C2977" w:rsidRDefault="00867089" w:rsidP="00867089">
      <w:r>
        <w:t xml:space="preserve">This literature discussion </w:t>
      </w:r>
      <w:r w:rsidR="004C2977">
        <w:t>is in honor of</w:t>
      </w:r>
      <w:r>
        <w:t xml:space="preserve"> Dr. </w:t>
      </w:r>
      <w:r w:rsidR="004C2977">
        <w:t>Josh Figueroa</w:t>
      </w:r>
      <w:r>
        <w:t>, recipient of the 202</w:t>
      </w:r>
      <w:r w:rsidR="004C2977">
        <w:t>6</w:t>
      </w:r>
      <w:r>
        <w:t xml:space="preserve"> </w:t>
      </w:r>
      <w:r w:rsidR="004C2977">
        <w:t>F. Albert Cotton Award in Synthetic</w:t>
      </w:r>
      <w:r>
        <w:t xml:space="preserve"> Inorganic Chemistry. </w:t>
      </w:r>
      <w:r w:rsidR="004C2977">
        <w:t>Josh has done some tremendous work with isocyanide ligands</w:t>
      </w:r>
      <w:r w:rsidR="00946CBB">
        <w:t>,</w:t>
      </w:r>
      <w:r w:rsidR="004C2977">
        <w:t xml:space="preserve"> and this paper is but a brief glimpse into this field. The article (</w:t>
      </w:r>
      <w:r w:rsidR="004C2977">
        <w:rPr>
          <w:i/>
          <w:iCs/>
        </w:rPr>
        <w:t xml:space="preserve">Z. </w:t>
      </w:r>
      <w:proofErr w:type="spellStart"/>
      <w:r w:rsidR="004C2977">
        <w:rPr>
          <w:i/>
          <w:iCs/>
        </w:rPr>
        <w:t>Anorg</w:t>
      </w:r>
      <w:proofErr w:type="spellEnd"/>
      <w:r w:rsidR="004C2977">
        <w:rPr>
          <w:i/>
          <w:iCs/>
        </w:rPr>
        <w:t xml:space="preserve">. </w:t>
      </w:r>
      <w:proofErr w:type="spellStart"/>
      <w:r w:rsidR="004C2977">
        <w:rPr>
          <w:i/>
          <w:iCs/>
        </w:rPr>
        <w:t>Allg</w:t>
      </w:r>
      <w:proofErr w:type="spellEnd"/>
      <w:r w:rsidR="004C2977">
        <w:rPr>
          <w:i/>
          <w:iCs/>
        </w:rPr>
        <w:t>. Chem.</w:t>
      </w:r>
      <w:r w:rsidR="004C2977">
        <w:t xml:space="preserve"> </w:t>
      </w:r>
      <w:r w:rsidR="004C2977">
        <w:rPr>
          <w:b/>
          <w:bCs/>
        </w:rPr>
        <w:t>2023</w:t>
      </w:r>
      <w:r w:rsidR="004C2977">
        <w:t xml:space="preserve">, </w:t>
      </w:r>
      <w:r w:rsidR="004C2977">
        <w:rPr>
          <w:i/>
          <w:iCs/>
        </w:rPr>
        <w:t>649</w:t>
      </w:r>
      <w:r w:rsidR="004C2977">
        <w:t xml:space="preserve">, e20220320 </w:t>
      </w:r>
      <w:hyperlink r:id="rId7" w:history="1">
        <w:r w:rsidR="004C2977" w:rsidRPr="000941D7">
          <w:rPr>
            <w:rStyle w:val="Hyperlink"/>
          </w:rPr>
          <w:t>https://doi.org/10.1002/zaac.202200320</w:t>
        </w:r>
      </w:hyperlink>
      <w:r w:rsidR="004C2977">
        <w:t xml:space="preserve">) is relatively short but provides wonderful opportunities to have students think about what is in the paper and what is not. </w:t>
      </w:r>
    </w:p>
    <w:p w14:paraId="30D34974" w14:textId="77777777" w:rsidR="00867089" w:rsidRDefault="00867089" w:rsidP="00867089"/>
    <w:p w14:paraId="34B5A4A8" w14:textId="2403B756" w:rsidR="00867089" w:rsidRDefault="00CD147D" w:rsidP="00867089">
      <w:pPr>
        <w:numPr>
          <w:ilvl w:val="0"/>
          <w:numId w:val="1"/>
        </w:numPr>
      </w:pPr>
      <w:r>
        <w:t>This is a relatively brief paper that give</w:t>
      </w:r>
      <w:r w:rsidR="00946CBB">
        <w:t>s</w:t>
      </w:r>
      <w:r>
        <w:t xml:space="preserve"> a short introduction. In your own words, suggest why</w:t>
      </w:r>
      <w:r w:rsidR="00DE4CA3">
        <w:t xml:space="preserve"> this work could be of importance.</w:t>
      </w:r>
    </w:p>
    <w:p w14:paraId="24BDD74A" w14:textId="77777777" w:rsidR="00867089" w:rsidRDefault="00867089" w:rsidP="00867089"/>
    <w:p w14:paraId="24649FC5" w14:textId="6AD19958" w:rsidR="0080242D" w:rsidRDefault="00DE4CA3" w:rsidP="00867089">
      <w:pPr>
        <w:numPr>
          <w:ilvl w:val="0"/>
          <w:numId w:val="1"/>
        </w:numPr>
      </w:pPr>
      <w:r>
        <w:t xml:space="preserve">The main ligand of interest in this study is the </w:t>
      </w:r>
      <w:proofErr w:type="spellStart"/>
      <w:r>
        <w:t>CN</w:t>
      </w:r>
      <w:r w:rsidR="00D84275">
        <w:t>Ph</w:t>
      </w:r>
      <w:r w:rsidR="00D84275">
        <w:rPr>
          <w:vertAlign w:val="superscript"/>
        </w:rPr>
        <w:t>pF</w:t>
      </w:r>
      <w:proofErr w:type="spellEnd"/>
      <w:r>
        <w:rPr>
          <w:vertAlign w:val="subscript"/>
        </w:rPr>
        <w:t xml:space="preserve"> </w:t>
      </w:r>
      <w:r>
        <w:t xml:space="preserve">ligand which is shown in Scheme </w:t>
      </w:r>
      <w:r w:rsidR="00D84275">
        <w:t>2</w:t>
      </w:r>
      <w:r>
        <w:t xml:space="preserve">. For now, consider the </w:t>
      </w:r>
      <w:r w:rsidR="00D84275">
        <w:t>4-C</w:t>
      </w:r>
      <w:r w:rsidR="00D84275">
        <w:rPr>
          <w:vertAlign w:val="subscript"/>
        </w:rPr>
        <w:t>6</w:t>
      </w:r>
      <w:r w:rsidR="00D84275">
        <w:t>H</w:t>
      </w:r>
      <w:r w:rsidR="00D84275">
        <w:rPr>
          <w:vertAlign w:val="subscript"/>
        </w:rPr>
        <w:t>4</w:t>
      </w:r>
      <w:r w:rsidR="00D84275">
        <w:t>F group bound to the</w:t>
      </w:r>
      <w:r>
        <w:t xml:space="preserve"> </w:t>
      </w:r>
      <w:r w:rsidR="0080242D">
        <w:t>nitrogen atom to be R. Draw a Lewis structure of CNR and from this, suggest what type (X, Y or Z) this ligand should be. How did you arrive at this conclusion?</w:t>
      </w:r>
    </w:p>
    <w:p w14:paraId="3DAEC79B" w14:textId="77777777" w:rsidR="0080242D" w:rsidRDefault="0080242D" w:rsidP="0080242D">
      <w:pPr>
        <w:ind w:left="720"/>
      </w:pPr>
    </w:p>
    <w:p w14:paraId="5DBC3157" w14:textId="22968608" w:rsidR="00867089" w:rsidRDefault="0005454F" w:rsidP="00867089">
      <w:pPr>
        <w:numPr>
          <w:ilvl w:val="0"/>
          <w:numId w:val="1"/>
        </w:numPr>
      </w:pPr>
      <w:r>
        <w:t>If the R group in the previous question was H, what common ligand would the isocyanide be isoelectronic (same number of electrons) to?</w:t>
      </w:r>
    </w:p>
    <w:p w14:paraId="28E6FB07" w14:textId="77777777" w:rsidR="0005454F" w:rsidRDefault="0005454F" w:rsidP="0005454F">
      <w:pPr>
        <w:ind w:left="720"/>
      </w:pPr>
    </w:p>
    <w:p w14:paraId="49D67B09" w14:textId="40EA27E2" w:rsidR="0054789C" w:rsidRDefault="0054789C" w:rsidP="0054789C">
      <w:pPr>
        <w:numPr>
          <w:ilvl w:val="0"/>
          <w:numId w:val="1"/>
        </w:numPr>
      </w:pPr>
      <w:r>
        <w:t>Describe/depict the orbital interactions between a metal and a terminal CO ligand.</w:t>
      </w:r>
    </w:p>
    <w:p w14:paraId="6E6893AC" w14:textId="77777777" w:rsidR="0054789C" w:rsidRDefault="0054789C" w:rsidP="00D678B5"/>
    <w:p w14:paraId="221EBAA9" w14:textId="3D9D1C6F" w:rsidR="00867089" w:rsidRDefault="0005454F" w:rsidP="00867089">
      <w:pPr>
        <w:numPr>
          <w:ilvl w:val="0"/>
          <w:numId w:val="1"/>
        </w:numPr>
      </w:pPr>
      <w:r>
        <w:t xml:space="preserve">The results in the table below come from </w:t>
      </w:r>
      <w:proofErr w:type="spellStart"/>
      <w:r>
        <w:t>WebMO</w:t>
      </w:r>
      <w:proofErr w:type="spellEnd"/>
      <w:r>
        <w:t xml:space="preserve"> and were calculated using the Gaussian suite </w:t>
      </w:r>
      <w:r w:rsidR="00E024AD">
        <w:t>and</w:t>
      </w:r>
      <w:r>
        <w:t xml:space="preserve"> B3LYP 6-31G(d). Note that there are degenerate LUMOs in both molecules</w:t>
      </w:r>
      <w:r w:rsidR="00946CBB">
        <w:t>,</w:t>
      </w:r>
      <w:r>
        <w:t xml:space="preserve"> and </w:t>
      </w:r>
      <w:r w:rsidR="00D00A1C">
        <w:t>only one is represented for each molecule.</w:t>
      </w:r>
      <w:r w:rsidR="0024704B">
        <w:t xml:space="preserve"> Based on this information and your chemical intuition, which ligand would you expect to be a better σ-donor? Which ligand would you expect to be a better π-acceptor? Why?</w:t>
      </w:r>
    </w:p>
    <w:p w14:paraId="7D1F3FF2" w14:textId="77777777" w:rsidR="0005454F" w:rsidRDefault="0005454F" w:rsidP="0005454F">
      <w:pPr>
        <w:ind w:left="72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1691"/>
        <w:gridCol w:w="979"/>
        <w:gridCol w:w="1461"/>
        <w:gridCol w:w="1728"/>
        <w:gridCol w:w="894"/>
      </w:tblGrid>
      <w:tr w:rsidR="00E024AD" w14:paraId="7B053B5E" w14:textId="77777777" w:rsidTr="00E024AD">
        <w:tc>
          <w:tcPr>
            <w:tcW w:w="1167" w:type="dxa"/>
          </w:tcPr>
          <w:p w14:paraId="794A8424" w14:textId="77777777" w:rsidR="00E024AD" w:rsidRDefault="00E024AD" w:rsidP="0005454F"/>
        </w:tc>
        <w:tc>
          <w:tcPr>
            <w:tcW w:w="2671" w:type="dxa"/>
            <w:gridSpan w:val="2"/>
          </w:tcPr>
          <w:p w14:paraId="64BFABA7" w14:textId="2997DE38" w:rsidR="00E024AD" w:rsidRPr="00D00A1C" w:rsidRDefault="00E024AD" w:rsidP="00E024AD">
            <w:pPr>
              <w:jc w:val="center"/>
              <w:rPr>
                <w:b/>
                <w:bCs/>
              </w:rPr>
            </w:pPr>
            <w:r>
              <w:rPr>
                <w:b/>
                <w:bCs/>
              </w:rPr>
              <w:t>CO</w:t>
            </w:r>
          </w:p>
        </w:tc>
        <w:tc>
          <w:tcPr>
            <w:tcW w:w="1467" w:type="dxa"/>
          </w:tcPr>
          <w:p w14:paraId="28290055" w14:textId="77777777" w:rsidR="00E024AD" w:rsidRDefault="00E024AD" w:rsidP="00E024AD">
            <w:pPr>
              <w:jc w:val="center"/>
            </w:pPr>
          </w:p>
        </w:tc>
        <w:tc>
          <w:tcPr>
            <w:tcW w:w="2605" w:type="dxa"/>
            <w:gridSpan w:val="2"/>
          </w:tcPr>
          <w:p w14:paraId="0BACB0BF" w14:textId="2DEB753F" w:rsidR="00E024AD" w:rsidRPr="00E024AD" w:rsidRDefault="00E024AD" w:rsidP="00E024AD">
            <w:pPr>
              <w:jc w:val="center"/>
              <w:rPr>
                <w:b/>
                <w:bCs/>
              </w:rPr>
            </w:pPr>
            <w:r w:rsidRPr="00E024AD">
              <w:rPr>
                <w:b/>
                <w:bCs/>
              </w:rPr>
              <w:t>CNH</w:t>
            </w:r>
          </w:p>
        </w:tc>
      </w:tr>
      <w:tr w:rsidR="00E024AD" w14:paraId="6C4D0F97" w14:textId="77777777" w:rsidTr="00E024AD">
        <w:tc>
          <w:tcPr>
            <w:tcW w:w="1167" w:type="dxa"/>
          </w:tcPr>
          <w:p w14:paraId="7896760B" w14:textId="77777777" w:rsidR="0005454F" w:rsidRDefault="0005454F" w:rsidP="0005454F"/>
        </w:tc>
        <w:tc>
          <w:tcPr>
            <w:tcW w:w="1691" w:type="dxa"/>
            <w:tcBorders>
              <w:bottom w:val="single" w:sz="4" w:space="0" w:color="auto"/>
            </w:tcBorders>
          </w:tcPr>
          <w:p w14:paraId="3F3B7716" w14:textId="017C6967" w:rsidR="0005454F" w:rsidRPr="00D00A1C" w:rsidRDefault="00D00A1C" w:rsidP="00E024AD">
            <w:pPr>
              <w:jc w:val="center"/>
              <w:rPr>
                <w:b/>
                <w:bCs/>
              </w:rPr>
            </w:pPr>
            <w:r w:rsidRPr="00D00A1C">
              <w:rPr>
                <w:b/>
                <w:bCs/>
              </w:rPr>
              <w:t>MO</w:t>
            </w:r>
          </w:p>
        </w:tc>
        <w:tc>
          <w:tcPr>
            <w:tcW w:w="980" w:type="dxa"/>
            <w:tcBorders>
              <w:bottom w:val="single" w:sz="4" w:space="0" w:color="auto"/>
            </w:tcBorders>
          </w:tcPr>
          <w:p w14:paraId="675460D4" w14:textId="16C5166B" w:rsidR="0005454F" w:rsidRPr="00D00A1C" w:rsidRDefault="00D00A1C" w:rsidP="00E024AD">
            <w:pPr>
              <w:jc w:val="center"/>
              <w:rPr>
                <w:b/>
                <w:bCs/>
              </w:rPr>
            </w:pPr>
            <w:r w:rsidRPr="00D00A1C">
              <w:rPr>
                <w:b/>
                <w:bCs/>
              </w:rPr>
              <w:t>E (eV)</w:t>
            </w:r>
          </w:p>
        </w:tc>
        <w:tc>
          <w:tcPr>
            <w:tcW w:w="1467" w:type="dxa"/>
          </w:tcPr>
          <w:p w14:paraId="2B139D0D" w14:textId="77777777" w:rsidR="0005454F" w:rsidRDefault="0005454F" w:rsidP="0005454F"/>
        </w:tc>
        <w:tc>
          <w:tcPr>
            <w:tcW w:w="1710" w:type="dxa"/>
            <w:tcBorders>
              <w:bottom w:val="single" w:sz="4" w:space="0" w:color="auto"/>
            </w:tcBorders>
          </w:tcPr>
          <w:p w14:paraId="2A7CD51D" w14:textId="1F086039" w:rsidR="0005454F" w:rsidRDefault="00E024AD" w:rsidP="00E024AD">
            <w:pPr>
              <w:jc w:val="center"/>
            </w:pPr>
            <w:r w:rsidRPr="00D00A1C">
              <w:rPr>
                <w:b/>
                <w:bCs/>
              </w:rPr>
              <w:t>MO</w:t>
            </w:r>
          </w:p>
        </w:tc>
        <w:tc>
          <w:tcPr>
            <w:tcW w:w="895" w:type="dxa"/>
            <w:tcBorders>
              <w:bottom w:val="single" w:sz="4" w:space="0" w:color="auto"/>
            </w:tcBorders>
          </w:tcPr>
          <w:p w14:paraId="120887C3" w14:textId="0B4C3235" w:rsidR="0005454F" w:rsidRDefault="00E024AD" w:rsidP="00E024AD">
            <w:pPr>
              <w:jc w:val="center"/>
            </w:pPr>
            <w:r w:rsidRPr="00D00A1C">
              <w:rPr>
                <w:b/>
                <w:bCs/>
              </w:rPr>
              <w:t>E (eV)</w:t>
            </w:r>
          </w:p>
        </w:tc>
      </w:tr>
      <w:tr w:rsidR="00E024AD" w14:paraId="2EB5D706" w14:textId="77777777" w:rsidTr="00E024AD">
        <w:tc>
          <w:tcPr>
            <w:tcW w:w="1167" w:type="dxa"/>
            <w:vAlign w:val="center"/>
          </w:tcPr>
          <w:p w14:paraId="635C0632" w14:textId="196D78B4" w:rsidR="0005454F" w:rsidRPr="00D00A1C" w:rsidRDefault="00D00A1C" w:rsidP="00E024AD">
            <w:pPr>
              <w:rPr>
                <w:b/>
                <w:bCs/>
              </w:rPr>
            </w:pPr>
            <w:r w:rsidRPr="00D00A1C">
              <w:rPr>
                <w:b/>
                <w:bCs/>
              </w:rPr>
              <w:t>HOMO</w:t>
            </w:r>
          </w:p>
        </w:tc>
        <w:tc>
          <w:tcPr>
            <w:tcW w:w="1691" w:type="dxa"/>
            <w:tcBorders>
              <w:top w:val="single" w:sz="4" w:space="0" w:color="auto"/>
            </w:tcBorders>
            <w:vAlign w:val="center"/>
          </w:tcPr>
          <w:p w14:paraId="5C668D32" w14:textId="0EA381C9" w:rsidR="0005454F" w:rsidRDefault="00D00A1C" w:rsidP="00E024AD">
            <w:pPr>
              <w:jc w:val="center"/>
            </w:pPr>
            <w:r w:rsidRPr="00D00A1C">
              <w:rPr>
                <w:noProof/>
              </w:rPr>
              <w:drawing>
                <wp:inline distT="0" distB="0" distL="0" distR="0" wp14:anchorId="31B6AE13" wp14:editId="1F602EAB">
                  <wp:extent cx="932688" cy="6858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32688" cy="685800"/>
                          </a:xfrm>
                          <a:prstGeom prst="rect">
                            <a:avLst/>
                          </a:prstGeom>
                        </pic:spPr>
                      </pic:pic>
                    </a:graphicData>
                  </a:graphic>
                </wp:inline>
              </w:drawing>
            </w:r>
          </w:p>
        </w:tc>
        <w:tc>
          <w:tcPr>
            <w:tcW w:w="980" w:type="dxa"/>
            <w:tcBorders>
              <w:top w:val="single" w:sz="4" w:space="0" w:color="auto"/>
            </w:tcBorders>
            <w:vAlign w:val="center"/>
          </w:tcPr>
          <w:p w14:paraId="6543999E" w14:textId="57F581B0" w:rsidR="0005454F" w:rsidRDefault="00D00A1C" w:rsidP="00E024AD">
            <w:pPr>
              <w:jc w:val="center"/>
            </w:pPr>
            <w:r>
              <w:t>-1</w:t>
            </w:r>
            <w:r w:rsidR="00E024AD">
              <w:t>0.095</w:t>
            </w:r>
          </w:p>
        </w:tc>
        <w:tc>
          <w:tcPr>
            <w:tcW w:w="1467" w:type="dxa"/>
            <w:tcBorders>
              <w:top w:val="single" w:sz="4" w:space="0" w:color="auto"/>
            </w:tcBorders>
            <w:vAlign w:val="center"/>
          </w:tcPr>
          <w:p w14:paraId="6D693629" w14:textId="77777777" w:rsidR="0005454F" w:rsidRDefault="0005454F" w:rsidP="00E024AD">
            <w:pPr>
              <w:jc w:val="center"/>
            </w:pPr>
          </w:p>
        </w:tc>
        <w:tc>
          <w:tcPr>
            <w:tcW w:w="1710" w:type="dxa"/>
            <w:tcBorders>
              <w:top w:val="single" w:sz="4" w:space="0" w:color="auto"/>
            </w:tcBorders>
            <w:vAlign w:val="center"/>
          </w:tcPr>
          <w:p w14:paraId="784FB515" w14:textId="68FEC1EB" w:rsidR="0005454F" w:rsidRDefault="00D00A1C" w:rsidP="00E024AD">
            <w:pPr>
              <w:jc w:val="center"/>
            </w:pPr>
            <w:r w:rsidRPr="00D00A1C">
              <w:rPr>
                <w:noProof/>
              </w:rPr>
              <w:drawing>
                <wp:inline distT="0" distB="0" distL="0" distR="0" wp14:anchorId="106245D1" wp14:editId="47EB264B">
                  <wp:extent cx="96012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60120" cy="685800"/>
                          </a:xfrm>
                          <a:prstGeom prst="rect">
                            <a:avLst/>
                          </a:prstGeom>
                        </pic:spPr>
                      </pic:pic>
                    </a:graphicData>
                  </a:graphic>
                </wp:inline>
              </w:drawing>
            </w:r>
          </w:p>
        </w:tc>
        <w:tc>
          <w:tcPr>
            <w:tcW w:w="895" w:type="dxa"/>
            <w:tcBorders>
              <w:top w:val="single" w:sz="4" w:space="0" w:color="auto"/>
            </w:tcBorders>
            <w:vAlign w:val="center"/>
          </w:tcPr>
          <w:p w14:paraId="24E2DFF1" w14:textId="0D6C0C8B" w:rsidR="0005454F" w:rsidRDefault="00D00A1C" w:rsidP="00E024AD">
            <w:pPr>
              <w:jc w:val="center"/>
            </w:pPr>
            <w:r>
              <w:t>-8.490</w:t>
            </w:r>
          </w:p>
        </w:tc>
      </w:tr>
      <w:tr w:rsidR="00E024AD" w14:paraId="283BBFE8" w14:textId="77777777" w:rsidTr="00E024AD">
        <w:tc>
          <w:tcPr>
            <w:tcW w:w="1167" w:type="dxa"/>
            <w:vAlign w:val="center"/>
          </w:tcPr>
          <w:p w14:paraId="1106DD0C" w14:textId="5CC988CD" w:rsidR="0005454F" w:rsidRPr="00D00A1C" w:rsidRDefault="00D00A1C" w:rsidP="00E024AD">
            <w:pPr>
              <w:rPr>
                <w:b/>
                <w:bCs/>
              </w:rPr>
            </w:pPr>
            <w:r>
              <w:rPr>
                <w:b/>
                <w:bCs/>
              </w:rPr>
              <w:t>LUMO</w:t>
            </w:r>
          </w:p>
        </w:tc>
        <w:tc>
          <w:tcPr>
            <w:tcW w:w="1691" w:type="dxa"/>
            <w:vAlign w:val="center"/>
          </w:tcPr>
          <w:p w14:paraId="4F5ABCFF" w14:textId="4F2A0BC5" w:rsidR="0005454F" w:rsidRDefault="00E024AD" w:rsidP="00E024AD">
            <w:pPr>
              <w:jc w:val="center"/>
            </w:pPr>
            <w:r w:rsidRPr="00E024AD">
              <w:rPr>
                <w:noProof/>
              </w:rPr>
              <w:drawing>
                <wp:inline distT="0" distB="0" distL="0" distR="0" wp14:anchorId="1B125DCF" wp14:editId="611A2617">
                  <wp:extent cx="676656" cy="6858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76656" cy="685800"/>
                          </a:xfrm>
                          <a:prstGeom prst="rect">
                            <a:avLst/>
                          </a:prstGeom>
                        </pic:spPr>
                      </pic:pic>
                    </a:graphicData>
                  </a:graphic>
                </wp:inline>
              </w:drawing>
            </w:r>
          </w:p>
        </w:tc>
        <w:tc>
          <w:tcPr>
            <w:tcW w:w="980" w:type="dxa"/>
            <w:vAlign w:val="center"/>
          </w:tcPr>
          <w:p w14:paraId="67115FD8" w14:textId="450E8197" w:rsidR="0005454F" w:rsidRDefault="00D00A1C" w:rsidP="00E024AD">
            <w:pPr>
              <w:jc w:val="center"/>
            </w:pPr>
            <w:r>
              <w:t>-</w:t>
            </w:r>
            <w:r w:rsidR="00E024AD">
              <w:t>0.599</w:t>
            </w:r>
          </w:p>
        </w:tc>
        <w:tc>
          <w:tcPr>
            <w:tcW w:w="1467" w:type="dxa"/>
            <w:vAlign w:val="center"/>
          </w:tcPr>
          <w:p w14:paraId="2096E02D" w14:textId="77777777" w:rsidR="0005454F" w:rsidRDefault="0005454F" w:rsidP="00E024AD">
            <w:pPr>
              <w:jc w:val="center"/>
            </w:pPr>
          </w:p>
        </w:tc>
        <w:tc>
          <w:tcPr>
            <w:tcW w:w="1710" w:type="dxa"/>
            <w:vAlign w:val="center"/>
          </w:tcPr>
          <w:p w14:paraId="5722D7BE" w14:textId="4BD8CB7A" w:rsidR="0005454F" w:rsidRDefault="00D00A1C" w:rsidP="00E024AD">
            <w:pPr>
              <w:jc w:val="center"/>
            </w:pPr>
            <w:r w:rsidRPr="00D00A1C">
              <w:rPr>
                <w:noProof/>
              </w:rPr>
              <w:drawing>
                <wp:inline distT="0" distB="0" distL="0" distR="0" wp14:anchorId="5702E1C2" wp14:editId="43342CED">
                  <wp:extent cx="676656" cy="685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6656" cy="685800"/>
                          </a:xfrm>
                          <a:prstGeom prst="rect">
                            <a:avLst/>
                          </a:prstGeom>
                        </pic:spPr>
                      </pic:pic>
                    </a:graphicData>
                  </a:graphic>
                </wp:inline>
              </w:drawing>
            </w:r>
          </w:p>
        </w:tc>
        <w:tc>
          <w:tcPr>
            <w:tcW w:w="895" w:type="dxa"/>
            <w:vAlign w:val="center"/>
          </w:tcPr>
          <w:p w14:paraId="6EBB731B" w14:textId="48F7E4B9" w:rsidR="0005454F" w:rsidRDefault="00D00A1C" w:rsidP="00E024AD">
            <w:pPr>
              <w:jc w:val="center"/>
            </w:pPr>
            <w:r>
              <w:t>0.707</w:t>
            </w:r>
          </w:p>
        </w:tc>
      </w:tr>
    </w:tbl>
    <w:p w14:paraId="0FEB9C78" w14:textId="77777777" w:rsidR="00867089" w:rsidRPr="00ED5B1E" w:rsidRDefault="00867089" w:rsidP="00D678B5">
      <w:pPr>
        <w:rPr>
          <w:color w:val="FF0000"/>
        </w:rPr>
      </w:pPr>
    </w:p>
    <w:p w14:paraId="7C619286" w14:textId="78693495" w:rsidR="005A2897" w:rsidRDefault="005A2897" w:rsidP="005A2897">
      <w:pPr>
        <w:numPr>
          <w:ilvl w:val="0"/>
          <w:numId w:val="1"/>
        </w:numPr>
      </w:pPr>
      <w:r>
        <w:t>The starting material in this study is [Re(CO)</w:t>
      </w:r>
      <w:r>
        <w:rPr>
          <w:vertAlign w:val="subscript"/>
        </w:rPr>
        <w:t>5</w:t>
      </w:r>
      <w:r>
        <w:t>Br] (</w:t>
      </w:r>
      <w:r>
        <w:rPr>
          <w:b/>
          <w:bCs/>
        </w:rPr>
        <w:t>1</w:t>
      </w:r>
      <w:r>
        <w:t xml:space="preserve">). Classify the compound, provide an electron count, the ligand bond number, the valence on rhenium and the </w:t>
      </w:r>
      <w:proofErr w:type="spellStart"/>
      <w:r>
        <w:t>d</w:t>
      </w:r>
      <w:r>
        <w:rPr>
          <w:vertAlign w:val="superscript"/>
        </w:rPr>
        <w:t>n</w:t>
      </w:r>
      <w:proofErr w:type="spellEnd"/>
      <w:r>
        <w:t xml:space="preserve"> count for rhenium. </w:t>
      </w:r>
    </w:p>
    <w:p w14:paraId="463F2B65" w14:textId="77777777" w:rsidR="005A2897" w:rsidRDefault="005A2897" w:rsidP="005A2897">
      <w:pPr>
        <w:ind w:left="720"/>
      </w:pPr>
    </w:p>
    <w:p w14:paraId="3B5A4042" w14:textId="1B79BDC2" w:rsidR="00D84275" w:rsidRDefault="00D84275" w:rsidP="00D84275">
      <w:pPr>
        <w:numPr>
          <w:ilvl w:val="0"/>
          <w:numId w:val="1"/>
        </w:numPr>
      </w:pPr>
      <w:r>
        <w:t>The two solvents used in this study are tetrahydrofuran (THF) and toluene. What are the boiling points of these solvents? You should be sure to cite your source(s).</w:t>
      </w:r>
    </w:p>
    <w:p w14:paraId="264F4F0F" w14:textId="77777777" w:rsidR="00D84275" w:rsidRDefault="00D84275" w:rsidP="00D84275">
      <w:pPr>
        <w:ind w:left="720"/>
      </w:pPr>
    </w:p>
    <w:p w14:paraId="3D94C355" w14:textId="2EFA94CA" w:rsidR="00125EA6" w:rsidRDefault="00D84275" w:rsidP="00D678B5">
      <w:pPr>
        <w:numPr>
          <w:ilvl w:val="0"/>
          <w:numId w:val="1"/>
        </w:numPr>
      </w:pPr>
      <w:r>
        <w:lastRenderedPageBreak/>
        <w:t xml:space="preserve">Initially, compound </w:t>
      </w:r>
      <w:r>
        <w:rPr>
          <w:b/>
          <w:bCs/>
        </w:rPr>
        <w:t>1</w:t>
      </w:r>
      <w:r>
        <w:t xml:space="preserve"> reacts with </w:t>
      </w:r>
      <w:proofErr w:type="spellStart"/>
      <w:r>
        <w:t>CNPh</w:t>
      </w:r>
      <w:r>
        <w:rPr>
          <w:vertAlign w:val="superscript"/>
        </w:rPr>
        <w:t>pF</w:t>
      </w:r>
      <w:proofErr w:type="spellEnd"/>
      <w:r>
        <w:t xml:space="preserve"> to give compound </w:t>
      </w:r>
      <w:r>
        <w:rPr>
          <w:b/>
          <w:bCs/>
        </w:rPr>
        <w:t>4</w:t>
      </w:r>
      <w:r>
        <w:t xml:space="preserve"> in scheme 2. The authors </w:t>
      </w:r>
      <w:r w:rsidR="00707D19">
        <w:t xml:space="preserve">draw this structure with the </w:t>
      </w:r>
      <w:proofErr w:type="spellStart"/>
      <w:r w:rsidR="00707D19">
        <w:t>CNPh</w:t>
      </w:r>
      <w:r w:rsidR="00707D19">
        <w:rPr>
          <w:vertAlign w:val="superscript"/>
        </w:rPr>
        <w:t>pF</w:t>
      </w:r>
      <w:proofErr w:type="spellEnd"/>
      <w:r w:rsidR="00707D19">
        <w:t xml:space="preserve"> ligand </w:t>
      </w:r>
      <w:r w:rsidR="00707D19">
        <w:rPr>
          <w:i/>
          <w:iCs/>
        </w:rPr>
        <w:t>cis</w:t>
      </w:r>
      <w:r w:rsidR="00707D19">
        <w:t>- to the Br ligand.</w:t>
      </w:r>
      <w:r w:rsidR="00125EA6">
        <w:t xml:space="preserve"> Draw the structure of the other possible isomer for this molecule.</w:t>
      </w:r>
    </w:p>
    <w:p w14:paraId="6C256A5F" w14:textId="77777777" w:rsidR="00125EA6" w:rsidRDefault="00125EA6" w:rsidP="00125EA6">
      <w:pPr>
        <w:ind w:left="720"/>
      </w:pPr>
    </w:p>
    <w:p w14:paraId="6F1A1C45" w14:textId="0CB002CD" w:rsidR="000A715C" w:rsidRDefault="000A715C" w:rsidP="00867089">
      <w:pPr>
        <w:numPr>
          <w:ilvl w:val="0"/>
          <w:numId w:val="1"/>
        </w:numPr>
      </w:pPr>
      <w:r>
        <w:t xml:space="preserve">The formation of compound </w:t>
      </w:r>
      <w:r>
        <w:rPr>
          <w:b/>
          <w:bCs/>
        </w:rPr>
        <w:t>4</w:t>
      </w:r>
      <w:r>
        <w:t xml:space="preserve"> is a ligand substitution reaction in which one L-type ligand is replaced with another. Although the authors do not mention the mechanism for this reaction, would you think it would be Associative or Dissociative? Why?</w:t>
      </w:r>
    </w:p>
    <w:p w14:paraId="5347F8A5" w14:textId="77777777" w:rsidR="000A715C" w:rsidRDefault="000A715C" w:rsidP="000A715C">
      <w:pPr>
        <w:ind w:left="720"/>
      </w:pPr>
    </w:p>
    <w:p w14:paraId="1DF187A1" w14:textId="6F140BEB" w:rsidR="00867089" w:rsidRDefault="00707D19" w:rsidP="00867089">
      <w:pPr>
        <w:numPr>
          <w:ilvl w:val="0"/>
          <w:numId w:val="1"/>
        </w:numPr>
      </w:pPr>
      <w:r>
        <w:t>Their only reported evidence for compound</w:t>
      </w:r>
      <w:r w:rsidR="00125EA6">
        <w:t xml:space="preserve"> </w:t>
      </w:r>
      <w:r w:rsidR="00125EA6" w:rsidRPr="00125EA6">
        <w:rPr>
          <w:b/>
          <w:bCs/>
        </w:rPr>
        <w:t>4</w:t>
      </w:r>
      <w:r>
        <w:t xml:space="preserve"> is the </w:t>
      </w:r>
      <w:r>
        <w:rPr>
          <w:vertAlign w:val="superscript"/>
        </w:rPr>
        <w:t>19</w:t>
      </w:r>
      <w:r>
        <w:t xml:space="preserve">F NMR spectrum </w:t>
      </w:r>
      <w:r w:rsidR="00151093">
        <w:t xml:space="preserve">of reaction mixtures </w:t>
      </w:r>
      <w:r>
        <w:t xml:space="preserve">in which there is a peak noted in the top two spectra in Figure 1. Is the presence of this single peak at 109.3 ppm sufficient evidence for the proposed </w:t>
      </w:r>
      <w:r w:rsidR="00125EA6">
        <w:t>isomer</w:t>
      </w:r>
      <w:r>
        <w:t xml:space="preserve"> of compound </w:t>
      </w:r>
      <w:r>
        <w:rPr>
          <w:b/>
          <w:bCs/>
        </w:rPr>
        <w:t>4</w:t>
      </w:r>
      <w:r w:rsidR="00125EA6">
        <w:rPr>
          <w:b/>
          <w:bCs/>
        </w:rPr>
        <w:t xml:space="preserve"> </w:t>
      </w:r>
      <w:r w:rsidR="00125EA6" w:rsidRPr="00125EA6">
        <w:t>in Scheme 2</w:t>
      </w:r>
      <w:r>
        <w:t>? Why or why not?</w:t>
      </w:r>
    </w:p>
    <w:p w14:paraId="59E134C5" w14:textId="77777777" w:rsidR="00707D19" w:rsidRDefault="00707D19" w:rsidP="00707D19"/>
    <w:p w14:paraId="1F8D211A" w14:textId="34CB4EF1" w:rsidR="00867089" w:rsidRDefault="00151093" w:rsidP="00867089">
      <w:pPr>
        <w:numPr>
          <w:ilvl w:val="0"/>
          <w:numId w:val="1"/>
        </w:numPr>
      </w:pPr>
      <w:r>
        <w:t xml:space="preserve">Both the carbonyl ligands and the </w:t>
      </w:r>
      <w:proofErr w:type="spellStart"/>
      <w:r>
        <w:t>CNPh</w:t>
      </w:r>
      <w:r>
        <w:rPr>
          <w:vertAlign w:val="superscript"/>
        </w:rPr>
        <w:t>pF</w:t>
      </w:r>
      <w:proofErr w:type="spellEnd"/>
      <w:r>
        <w:t xml:space="preserve"> ligand would give strong bands in the infrared spectrum. As the authors were unable to isolate compound </w:t>
      </w:r>
      <w:r>
        <w:rPr>
          <w:b/>
          <w:bCs/>
        </w:rPr>
        <w:t>4</w:t>
      </w:r>
      <w:r>
        <w:t xml:space="preserve">, they do not the IR spectrum for the compound. Using group theory and considering both the carbonyl and </w:t>
      </w:r>
      <w:proofErr w:type="spellStart"/>
      <w:r>
        <w:t>CNPh</w:t>
      </w:r>
      <w:r>
        <w:rPr>
          <w:vertAlign w:val="superscript"/>
        </w:rPr>
        <w:t>pF</w:t>
      </w:r>
      <w:proofErr w:type="spellEnd"/>
      <w:r>
        <w:t xml:space="preserve"> ligands, would you be able to distinguish between the</w:t>
      </w:r>
      <w:r w:rsidR="00125EA6">
        <w:rPr>
          <w:i/>
          <w:iCs/>
        </w:rPr>
        <w:t xml:space="preserve"> </w:t>
      </w:r>
      <w:r>
        <w:t xml:space="preserve">isomers of compound </w:t>
      </w:r>
      <w:r>
        <w:rPr>
          <w:b/>
          <w:bCs/>
        </w:rPr>
        <w:t>4</w:t>
      </w:r>
      <w:r>
        <w:t>?</w:t>
      </w:r>
    </w:p>
    <w:p w14:paraId="726B4F98" w14:textId="77777777" w:rsidR="00125EA6" w:rsidRDefault="00125EA6" w:rsidP="00125EA6"/>
    <w:p w14:paraId="2D253285" w14:textId="3F7843BD" w:rsidR="00867089" w:rsidRDefault="001A1B30" w:rsidP="00867089">
      <w:pPr>
        <w:numPr>
          <w:ilvl w:val="0"/>
          <w:numId w:val="1"/>
        </w:numPr>
      </w:pPr>
      <w:r>
        <w:t xml:space="preserve">Continued heating of the reaction mixture results in the formation of compound </w:t>
      </w:r>
      <w:r>
        <w:rPr>
          <w:b/>
          <w:bCs/>
        </w:rPr>
        <w:t>5</w:t>
      </w:r>
      <w:r>
        <w:t xml:space="preserve"> in which the </w:t>
      </w:r>
      <w:proofErr w:type="spellStart"/>
      <w:r>
        <w:t>CNPh</w:t>
      </w:r>
      <w:r>
        <w:rPr>
          <w:vertAlign w:val="superscript"/>
        </w:rPr>
        <w:t>pF</w:t>
      </w:r>
      <w:proofErr w:type="spellEnd"/>
      <w:r>
        <w:t xml:space="preserve"> ligands are </w:t>
      </w:r>
      <w:r>
        <w:rPr>
          <w:i/>
          <w:iCs/>
        </w:rPr>
        <w:t>cis</w:t>
      </w:r>
      <w:r>
        <w:t xml:space="preserve">-. There are two other possible isomers for this compound which are shown below. The IR spectrum of compound </w:t>
      </w:r>
      <w:r>
        <w:rPr>
          <w:b/>
          <w:bCs/>
        </w:rPr>
        <w:t>5</w:t>
      </w:r>
      <w:r>
        <w:t xml:space="preserve"> is reported and displays two CN vibrations and three CO vibrations</w:t>
      </w:r>
      <w:r w:rsidR="00867089">
        <w:t>.</w:t>
      </w:r>
      <w:r>
        <w:t xml:space="preserve"> Using group theory, determine if the IR spectrum is sufficient to determine which of the three isomers formed.</w:t>
      </w:r>
    </w:p>
    <w:p w14:paraId="2E1F5E1A" w14:textId="77777777" w:rsidR="001A1B30" w:rsidRDefault="001A1B30" w:rsidP="001A1B30">
      <w:pPr>
        <w:ind w:left="72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3922"/>
      </w:tblGrid>
      <w:tr w:rsidR="002D7BF6" w14:paraId="4B016385" w14:textId="77777777" w:rsidTr="00693430">
        <w:tc>
          <w:tcPr>
            <w:tcW w:w="4315" w:type="dxa"/>
            <w:vAlign w:val="center"/>
          </w:tcPr>
          <w:p w14:paraId="6C459BF0" w14:textId="553EDE60" w:rsidR="002D7BF6" w:rsidRDefault="00693430" w:rsidP="00693430">
            <w:pPr>
              <w:jc w:val="center"/>
            </w:pPr>
            <w:r w:rsidRPr="00C346B5">
              <w:rPr>
                <w:color w:val="FF0000"/>
              </w:rPr>
              <w:object w:dxaOrig="2234" w:dyaOrig="2015" w14:anchorId="0E3DA8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pt;height:100.55pt" o:ole="">
                  <v:imagedata r:id="rId12" o:title=""/>
                </v:shape>
                <o:OLEObject Type="Embed" ProgID="ChemDraw_x64.Document.6.0" ShapeID="_x0000_i1025" DrawAspect="Content" ObjectID="_1821427797" r:id="rId13"/>
              </w:object>
            </w:r>
          </w:p>
        </w:tc>
        <w:tc>
          <w:tcPr>
            <w:tcW w:w="4315" w:type="dxa"/>
            <w:vAlign w:val="center"/>
          </w:tcPr>
          <w:p w14:paraId="457C421E" w14:textId="02334681" w:rsidR="002D7BF6" w:rsidRDefault="00693430" w:rsidP="00693430">
            <w:pPr>
              <w:jc w:val="center"/>
            </w:pPr>
            <w:r w:rsidRPr="00C346B5">
              <w:rPr>
                <w:color w:val="FF0000"/>
              </w:rPr>
              <w:object w:dxaOrig="1792" w:dyaOrig="2015" w14:anchorId="124A8A72">
                <v:shape id="_x0000_i1026" type="#_x0000_t75" style="width:89.25pt;height:100.55pt" o:ole="">
                  <v:imagedata r:id="rId14" o:title=""/>
                </v:shape>
                <o:OLEObject Type="Embed" ProgID="ChemDraw_x64.Document.6.0" ShapeID="_x0000_i1026" DrawAspect="Content" ObjectID="_1821427798" r:id="rId15"/>
              </w:object>
            </w:r>
          </w:p>
        </w:tc>
      </w:tr>
    </w:tbl>
    <w:p w14:paraId="240FC460" w14:textId="77777777" w:rsidR="002D7BF6" w:rsidRDefault="002D7BF6" w:rsidP="000A715C"/>
    <w:p w14:paraId="4ABBE8DD" w14:textId="77777777" w:rsidR="001A1B30" w:rsidRPr="00C346B5" w:rsidRDefault="001A1B30" w:rsidP="001A1B30">
      <w:pPr>
        <w:ind w:left="720"/>
        <w:rPr>
          <w:color w:val="FF0000"/>
        </w:rPr>
      </w:pPr>
    </w:p>
    <w:p w14:paraId="2B12034E" w14:textId="3DCD2743" w:rsidR="00867089" w:rsidRDefault="00693430" w:rsidP="00867089">
      <w:pPr>
        <w:numPr>
          <w:ilvl w:val="0"/>
          <w:numId w:val="1"/>
        </w:numPr>
      </w:pPr>
      <w:r>
        <w:t xml:space="preserve">The </w:t>
      </w:r>
      <w:r>
        <w:rPr>
          <w:vertAlign w:val="superscript"/>
        </w:rPr>
        <w:t>19</w:t>
      </w:r>
      <w:r>
        <w:t xml:space="preserve">F NMR spectrum for compound </w:t>
      </w:r>
      <w:r>
        <w:rPr>
          <w:b/>
          <w:bCs/>
        </w:rPr>
        <w:t>5</w:t>
      </w:r>
      <w:r>
        <w:t xml:space="preserve"> displays a single peak at </w:t>
      </w:r>
      <w:r w:rsidR="000A715C">
        <w:t xml:space="preserve">-107.5 ppm. Considering the information in the previous question, do you agree with the assigned structure of compound </w:t>
      </w:r>
      <w:r w:rsidR="000A715C">
        <w:rPr>
          <w:b/>
          <w:bCs/>
        </w:rPr>
        <w:t>5</w:t>
      </w:r>
      <w:r w:rsidR="00867089">
        <w:t>?</w:t>
      </w:r>
      <w:r w:rsidR="000A715C">
        <w:t xml:space="preserve"> Why or why not?</w:t>
      </w:r>
    </w:p>
    <w:p w14:paraId="6F0C7302" w14:textId="77777777" w:rsidR="000A715C" w:rsidRDefault="000A715C" w:rsidP="000A715C">
      <w:pPr>
        <w:ind w:left="720"/>
      </w:pPr>
    </w:p>
    <w:p w14:paraId="1C6466F0" w14:textId="15D974B6" w:rsidR="00867089" w:rsidRDefault="000124D9" w:rsidP="00867089">
      <w:pPr>
        <w:numPr>
          <w:ilvl w:val="0"/>
          <w:numId w:val="1"/>
        </w:numPr>
      </w:pPr>
      <w:r>
        <w:t xml:space="preserve">The IR spectrum for compound </w:t>
      </w:r>
      <w:r>
        <w:rPr>
          <w:b/>
          <w:bCs/>
        </w:rPr>
        <w:t>1</w:t>
      </w:r>
      <w:r>
        <w:t xml:space="preserve"> has been reported (Li, C.; Guo, L; Garland, M. </w:t>
      </w:r>
      <w:r>
        <w:rPr>
          <w:i/>
          <w:iCs/>
        </w:rPr>
        <w:t>Organometallics</w:t>
      </w:r>
      <w:r>
        <w:t xml:space="preserve"> </w:t>
      </w:r>
      <w:r>
        <w:rPr>
          <w:b/>
          <w:bCs/>
        </w:rPr>
        <w:t>2004</w:t>
      </w:r>
      <w:r>
        <w:t xml:space="preserve">, </w:t>
      </w:r>
      <w:r>
        <w:rPr>
          <w:i/>
          <w:iCs/>
        </w:rPr>
        <w:t>23</w:t>
      </w:r>
      <w:r>
        <w:t>, 5275). There are three vibrations in the carbonyl region: 2046, 2016 and 1986 cm</w:t>
      </w:r>
      <w:r>
        <w:rPr>
          <w:vertAlign w:val="superscript"/>
        </w:rPr>
        <w:t>-1</w:t>
      </w:r>
      <w:r>
        <w:t xml:space="preserve">. Compare this to the </w:t>
      </w:r>
      <w:proofErr w:type="spellStart"/>
      <w:r>
        <w:t>ν</w:t>
      </w:r>
      <w:r>
        <w:rPr>
          <w:vertAlign w:val="subscript"/>
        </w:rPr>
        <w:t>CO</w:t>
      </w:r>
      <w:proofErr w:type="spellEnd"/>
      <w:r>
        <w:t xml:space="preserve"> bands in the IR spectrum of compound </w:t>
      </w:r>
      <w:r>
        <w:rPr>
          <w:b/>
          <w:bCs/>
        </w:rPr>
        <w:t>5</w:t>
      </w:r>
      <w:r w:rsidR="00946CBB">
        <w:rPr>
          <w:b/>
          <w:bCs/>
        </w:rPr>
        <w:t>.</w:t>
      </w:r>
      <w:r w:rsidR="006E6417">
        <w:t xml:space="preserve"> What does this tell you about the nature of the </w:t>
      </w:r>
      <w:proofErr w:type="spellStart"/>
      <w:r w:rsidR="006E6417">
        <w:t>CNPh</w:t>
      </w:r>
      <w:r w:rsidR="006E6417">
        <w:rPr>
          <w:vertAlign w:val="superscript"/>
        </w:rPr>
        <w:t>pF</w:t>
      </w:r>
      <w:proofErr w:type="spellEnd"/>
      <w:r w:rsidR="006E6417">
        <w:t xml:space="preserve"> ligand as compared to a carbonyl? You might want to review your answer to question 5.</w:t>
      </w:r>
    </w:p>
    <w:p w14:paraId="193E6B66" w14:textId="77777777" w:rsidR="006E6417" w:rsidRDefault="006E6417" w:rsidP="006E6417">
      <w:pPr>
        <w:ind w:left="720"/>
      </w:pPr>
    </w:p>
    <w:p w14:paraId="026A4A5A" w14:textId="66931445" w:rsidR="00867089" w:rsidRDefault="00ED7190" w:rsidP="00867089">
      <w:pPr>
        <w:numPr>
          <w:ilvl w:val="0"/>
          <w:numId w:val="1"/>
        </w:numPr>
      </w:pPr>
      <w:r>
        <w:t>The authors also provide some insight into this idea by saying “</w:t>
      </w:r>
      <w:r w:rsidRPr="00ED7190">
        <w:t xml:space="preserve">The IR spectrum of </w:t>
      </w:r>
      <w:r w:rsidRPr="00946CBB">
        <w:rPr>
          <w:b/>
        </w:rPr>
        <w:t>5</w:t>
      </w:r>
      <w:r w:rsidRPr="00ED7190">
        <w:t xml:space="preserve"> shows the ν</w:t>
      </w:r>
      <w:r w:rsidRPr="00ED7190">
        <w:rPr>
          <w:vertAlign w:val="subscript"/>
        </w:rPr>
        <w:t>(CO)</w:t>
      </w:r>
      <w:r w:rsidRPr="00ED7190">
        <w:t xml:space="preserve"> stretches at 1916, 1973</w:t>
      </w:r>
      <w:r>
        <w:t xml:space="preserve"> </w:t>
      </w:r>
      <w:r w:rsidRPr="00ED7190">
        <w:t>and 2026 cm</w:t>
      </w:r>
      <w:r>
        <w:rPr>
          <w:vertAlign w:val="superscript"/>
        </w:rPr>
        <w:t>-1</w:t>
      </w:r>
      <w:r>
        <w:t xml:space="preserve">, while the </w:t>
      </w:r>
      <w:r w:rsidRPr="00ED7190">
        <w:t>ν</w:t>
      </w:r>
      <w:r w:rsidRPr="00ED7190">
        <w:rPr>
          <w:vertAlign w:val="subscript"/>
        </w:rPr>
        <w:t>(C</w:t>
      </w:r>
      <w:r>
        <w:rPr>
          <w:vertAlign w:val="subscript"/>
        </w:rPr>
        <w:t>N</w:t>
      </w:r>
      <w:r w:rsidRPr="00ED7190">
        <w:rPr>
          <w:vertAlign w:val="subscript"/>
        </w:rPr>
        <w:t>)</w:t>
      </w:r>
      <w:r>
        <w:t xml:space="preserve"> bands appear at 2153 and 2183 cm</w:t>
      </w:r>
      <w:r>
        <w:rPr>
          <w:vertAlign w:val="superscript"/>
        </w:rPr>
        <w:t>-1</w:t>
      </w:r>
      <w:r>
        <w:t>. The latter values are higher than that of the uncoordinated isocyanide (2129 cm</w:t>
      </w:r>
      <w:r>
        <w:rPr>
          <w:vertAlign w:val="superscript"/>
        </w:rPr>
        <w:t>-1</w:t>
      </w:r>
      <w:r>
        <w:t xml:space="preserve">), which suggest that the isocyanide does not act as a π-acceptor in compound </w:t>
      </w:r>
      <w:r>
        <w:rPr>
          <w:b/>
          <w:bCs/>
        </w:rPr>
        <w:t>5</w:t>
      </w:r>
      <w:r>
        <w:t xml:space="preserve">.” </w:t>
      </w:r>
      <w:r w:rsidR="00657FD2">
        <w:t>Explain how the authors are able to reach this conclusion.</w:t>
      </w:r>
    </w:p>
    <w:p w14:paraId="72141642" w14:textId="77777777" w:rsidR="00657FD2" w:rsidRDefault="00657FD2" w:rsidP="00657FD2">
      <w:pPr>
        <w:ind w:left="720"/>
      </w:pPr>
    </w:p>
    <w:p w14:paraId="0998BD74" w14:textId="4ADD4600" w:rsidR="00867089" w:rsidRDefault="00657FD2" w:rsidP="00867089">
      <w:pPr>
        <w:numPr>
          <w:ilvl w:val="0"/>
          <w:numId w:val="1"/>
        </w:numPr>
      </w:pPr>
      <w:r>
        <w:t xml:space="preserve">Using the information from the previous question, what does the IR for compound </w:t>
      </w:r>
      <w:r>
        <w:rPr>
          <w:b/>
          <w:bCs/>
        </w:rPr>
        <w:t>5</w:t>
      </w:r>
      <w:r>
        <w:t xml:space="preserve"> suggest about the CN bond strength in the coordinated </w:t>
      </w:r>
      <w:proofErr w:type="spellStart"/>
      <w:r>
        <w:t>CNPh</w:t>
      </w:r>
      <w:r>
        <w:rPr>
          <w:vertAlign w:val="superscript"/>
        </w:rPr>
        <w:t>pF</w:t>
      </w:r>
      <w:proofErr w:type="spellEnd"/>
      <w:r>
        <w:t xml:space="preserve"> relative to that of the free ligand? How can explain this? (</w:t>
      </w:r>
      <w:r>
        <w:rPr>
          <w:i/>
          <w:iCs/>
        </w:rPr>
        <w:t>Hint: you might go back to question 5 for this</w:t>
      </w:r>
      <w:r>
        <w:t>).</w:t>
      </w:r>
    </w:p>
    <w:p w14:paraId="35CE10E6" w14:textId="77777777" w:rsidR="00657FD2" w:rsidRDefault="00657FD2" w:rsidP="00657FD2">
      <w:pPr>
        <w:ind w:left="720"/>
      </w:pPr>
    </w:p>
    <w:p w14:paraId="56BE520D" w14:textId="40E803F1" w:rsidR="00867089" w:rsidRDefault="00B61DF4" w:rsidP="00867089">
      <w:pPr>
        <w:numPr>
          <w:ilvl w:val="0"/>
          <w:numId w:val="1"/>
        </w:numPr>
      </w:pPr>
      <w:r>
        <w:t xml:space="preserve">In preparing compound </w:t>
      </w:r>
      <w:r>
        <w:rPr>
          <w:b/>
          <w:bCs/>
        </w:rPr>
        <w:t>6</w:t>
      </w:r>
      <w:r>
        <w:t>, the authors needed to change solvents from THF to toluene. In light of the previous two questions and your proposed mechanism in question 9, why do you think this change was necessary? As part of your discussion, you should consider how enthalpy (ΔH) and entropy (ΔS) play a role.</w:t>
      </w:r>
    </w:p>
    <w:p w14:paraId="2526FF5A" w14:textId="77777777" w:rsidR="00B61DF4" w:rsidRDefault="00B61DF4" w:rsidP="00B61DF4">
      <w:pPr>
        <w:ind w:left="720"/>
      </w:pPr>
    </w:p>
    <w:p w14:paraId="46CECA5E" w14:textId="1B74C292" w:rsidR="00867089" w:rsidRDefault="00723BFF" w:rsidP="00867089">
      <w:pPr>
        <w:numPr>
          <w:ilvl w:val="0"/>
          <w:numId w:val="1"/>
        </w:numPr>
      </w:pPr>
      <w:r>
        <w:t xml:space="preserve">The authors report that the </w:t>
      </w:r>
      <w:r>
        <w:rPr>
          <w:vertAlign w:val="superscript"/>
        </w:rPr>
        <w:t>19</w:t>
      </w:r>
      <w:r>
        <w:t xml:space="preserve">F NMR spectrum for compound </w:t>
      </w:r>
      <w:r>
        <w:rPr>
          <w:b/>
          <w:bCs/>
        </w:rPr>
        <w:t>6</w:t>
      </w:r>
      <w:r>
        <w:t xml:space="preserve"> displays a single peak at -110.7 ppm. How does this suggest that the authors are proposing the correct isomer for compound </w:t>
      </w:r>
      <w:r>
        <w:rPr>
          <w:b/>
          <w:bCs/>
        </w:rPr>
        <w:t>6</w:t>
      </w:r>
      <w:r>
        <w:t>?</w:t>
      </w:r>
    </w:p>
    <w:p w14:paraId="1C0CA768" w14:textId="77777777" w:rsidR="00723BFF" w:rsidRDefault="00723BFF" w:rsidP="00723BFF">
      <w:pPr>
        <w:ind w:left="720"/>
      </w:pPr>
    </w:p>
    <w:p w14:paraId="07B5D911" w14:textId="3AF5C4C0" w:rsidR="00867089" w:rsidRDefault="00723BFF" w:rsidP="00867089">
      <w:pPr>
        <w:numPr>
          <w:ilvl w:val="0"/>
          <w:numId w:val="1"/>
        </w:numPr>
      </w:pPr>
      <w:r>
        <w:t xml:space="preserve">The authors also </w:t>
      </w:r>
      <w:r w:rsidR="00555B00">
        <w:t xml:space="preserve">report </w:t>
      </w:r>
      <w:r>
        <w:t xml:space="preserve">one band for the </w:t>
      </w:r>
      <w:proofErr w:type="spellStart"/>
      <w:r>
        <w:t>ν</w:t>
      </w:r>
      <w:r>
        <w:rPr>
          <w:vertAlign w:val="subscript"/>
        </w:rPr>
        <w:t>CN</w:t>
      </w:r>
      <w:proofErr w:type="spellEnd"/>
      <w:r>
        <w:rPr>
          <w:vertAlign w:val="subscript"/>
        </w:rPr>
        <w:softHyphen/>
      </w:r>
      <w:r>
        <w:t xml:space="preserve"> and two bands for the </w:t>
      </w:r>
      <w:proofErr w:type="spellStart"/>
      <w:r>
        <w:t>ν</w:t>
      </w:r>
      <w:r>
        <w:rPr>
          <w:vertAlign w:val="subscript"/>
        </w:rPr>
        <w:t>CO</w:t>
      </w:r>
      <w:proofErr w:type="spellEnd"/>
      <w:r>
        <w:t xml:space="preserve"> in </w:t>
      </w:r>
      <w:r w:rsidR="00555B00">
        <w:t xml:space="preserve">the IR spectrum for </w:t>
      </w:r>
      <w:r>
        <w:t xml:space="preserve">compound </w:t>
      </w:r>
      <w:r>
        <w:rPr>
          <w:b/>
          <w:bCs/>
        </w:rPr>
        <w:t>6</w:t>
      </w:r>
      <w:r w:rsidR="00867089">
        <w:t>.</w:t>
      </w:r>
      <w:r>
        <w:t xml:space="preserve"> Does this make sense for either of the two possible isomers? Why or why not? You should use group theory to support your answer.</w:t>
      </w:r>
    </w:p>
    <w:p w14:paraId="678081EC" w14:textId="77777777" w:rsidR="00723BFF" w:rsidRPr="00C346B5" w:rsidRDefault="00723BFF" w:rsidP="00D678B5">
      <w:pPr>
        <w:rPr>
          <w:color w:val="FF0000"/>
        </w:rPr>
      </w:pPr>
    </w:p>
    <w:p w14:paraId="72A02C19" w14:textId="525F2130" w:rsidR="00867089" w:rsidRDefault="006A3416" w:rsidP="00867089">
      <w:pPr>
        <w:numPr>
          <w:ilvl w:val="0"/>
          <w:numId w:val="1"/>
        </w:numPr>
      </w:pPr>
      <w:r>
        <w:t xml:space="preserve">With regard to compound </w:t>
      </w:r>
      <w:r>
        <w:rPr>
          <w:b/>
          <w:bCs/>
        </w:rPr>
        <w:t>6</w:t>
      </w:r>
      <w:r>
        <w:t xml:space="preserve"> the authors state that “unlike in compound </w:t>
      </w:r>
      <w:r>
        <w:rPr>
          <w:b/>
          <w:bCs/>
        </w:rPr>
        <w:t>5</w:t>
      </w:r>
      <w:r>
        <w:t xml:space="preserve"> also the ν</w:t>
      </w:r>
      <w:r>
        <w:rPr>
          <w:vertAlign w:val="subscript"/>
        </w:rPr>
        <w:t>(CN)</w:t>
      </w:r>
      <w:r>
        <w:t xml:space="preserve"> frequency (2065 cm</w:t>
      </w:r>
      <w:r>
        <w:rPr>
          <w:vertAlign w:val="superscript"/>
        </w:rPr>
        <w:t>-1</w:t>
      </w:r>
      <w:r>
        <w:t xml:space="preserve">) is </w:t>
      </w:r>
      <w:proofErr w:type="spellStart"/>
      <w:r>
        <w:t>bathochromically</w:t>
      </w:r>
      <w:proofErr w:type="spellEnd"/>
      <w:r>
        <w:t xml:space="preserve"> shifted against the value in the uncoordinated isocyanide indicating that </w:t>
      </w:r>
      <w:proofErr w:type="spellStart"/>
      <w:r>
        <w:t>CNPh</w:t>
      </w:r>
      <w:r>
        <w:rPr>
          <w:vertAlign w:val="superscript"/>
        </w:rPr>
        <w:t>pF</w:t>
      </w:r>
      <w:proofErr w:type="spellEnd"/>
      <w:r>
        <w:t> participates in the withdraw</w:t>
      </w:r>
      <w:r w:rsidR="00946CBB">
        <w:t>a</w:t>
      </w:r>
      <w:r>
        <w:t>l of electron density from the d</w:t>
      </w:r>
      <w:r>
        <w:rPr>
          <w:vertAlign w:val="superscript"/>
        </w:rPr>
        <w:t>6</w:t>
      </w:r>
      <w:r>
        <w:t xml:space="preserve"> ion by π-</w:t>
      </w:r>
      <w:proofErr w:type="spellStart"/>
      <w:r>
        <w:t>backbonding</w:t>
      </w:r>
      <w:proofErr w:type="spellEnd"/>
      <w:r>
        <w:t xml:space="preserve"> in the </w:t>
      </w:r>
      <w:proofErr w:type="spellStart"/>
      <w:r>
        <w:t>tetrakis</w:t>
      </w:r>
      <w:proofErr w:type="spellEnd"/>
      <w:r>
        <w:t xml:space="preserve"> complex.” In your own words, what does this mean?</w:t>
      </w:r>
    </w:p>
    <w:p w14:paraId="56B00754" w14:textId="77777777" w:rsidR="006A3416" w:rsidRDefault="006A3416" w:rsidP="006A3416">
      <w:pPr>
        <w:ind w:left="720"/>
      </w:pPr>
    </w:p>
    <w:p w14:paraId="1C0006CE" w14:textId="3F1793D3" w:rsidR="00F920B1" w:rsidRDefault="00F920B1" w:rsidP="00F920B1">
      <w:pPr>
        <w:numPr>
          <w:ilvl w:val="0"/>
          <w:numId w:val="1"/>
        </w:numPr>
      </w:pPr>
      <w:r>
        <w:t xml:space="preserve">Confirm that there is no redox reaction that takes place in the formation of compound </w:t>
      </w:r>
      <w:r>
        <w:rPr>
          <w:b/>
          <w:bCs/>
        </w:rPr>
        <w:t>7</w:t>
      </w:r>
      <w:r>
        <w:t xml:space="preserve"> by classifying compounds </w:t>
      </w:r>
      <w:r>
        <w:rPr>
          <w:b/>
          <w:bCs/>
        </w:rPr>
        <w:t>6</w:t>
      </w:r>
      <w:r>
        <w:t xml:space="preserve"> and </w:t>
      </w:r>
      <w:r>
        <w:rPr>
          <w:b/>
          <w:bCs/>
        </w:rPr>
        <w:t>7</w:t>
      </w:r>
      <w:r>
        <w:t xml:space="preserve">. Provide electron counts, ligand bond numbers, valence and </w:t>
      </w:r>
      <w:proofErr w:type="spellStart"/>
      <w:r>
        <w:t>d</w:t>
      </w:r>
      <w:r w:rsidRPr="00F920B1">
        <w:rPr>
          <w:vertAlign w:val="superscript"/>
        </w:rPr>
        <w:t>n</w:t>
      </w:r>
      <w:proofErr w:type="spellEnd"/>
      <w:r>
        <w:t xml:space="preserve"> counts for rhenium in each of these compounds. </w:t>
      </w:r>
    </w:p>
    <w:p w14:paraId="4811D67E" w14:textId="77777777" w:rsidR="00F920B1" w:rsidRDefault="00F920B1" w:rsidP="00F920B1">
      <w:pPr>
        <w:ind w:left="720"/>
      </w:pPr>
    </w:p>
    <w:p w14:paraId="6C116651" w14:textId="0F79D19A" w:rsidR="00867089" w:rsidRDefault="00F920B1" w:rsidP="00867089">
      <w:pPr>
        <w:numPr>
          <w:ilvl w:val="0"/>
          <w:numId w:val="1"/>
        </w:numPr>
      </w:pPr>
      <w:r>
        <w:t>What is the purpose of adding the NaBPh</w:t>
      </w:r>
      <w:r>
        <w:rPr>
          <w:vertAlign w:val="subscript"/>
        </w:rPr>
        <w:t>4</w:t>
      </w:r>
      <w:r>
        <w:t xml:space="preserve"> in the formation of compound </w:t>
      </w:r>
      <w:r>
        <w:rPr>
          <w:b/>
          <w:bCs/>
        </w:rPr>
        <w:t>7</w:t>
      </w:r>
      <w:r>
        <w:t>?</w:t>
      </w:r>
    </w:p>
    <w:p w14:paraId="728F2CC1" w14:textId="77777777" w:rsidR="00867089" w:rsidRPr="00E524F8" w:rsidRDefault="00867089" w:rsidP="00867089">
      <w:pPr>
        <w:rPr>
          <w:color w:val="FF0000"/>
        </w:rPr>
      </w:pPr>
      <w:bookmarkStart w:id="0" w:name="_GoBack"/>
      <w:bookmarkEnd w:id="0"/>
    </w:p>
    <w:p w14:paraId="352ED2E2" w14:textId="44D0B15F" w:rsidR="00D678B5" w:rsidRDefault="00D678B5" w:rsidP="00D678B5">
      <w:pPr>
        <w:numPr>
          <w:ilvl w:val="0"/>
          <w:numId w:val="1"/>
        </w:numPr>
      </w:pPr>
      <w:r>
        <w:t xml:space="preserve">The structure of compound </w:t>
      </w:r>
      <w:r w:rsidRPr="00D678B5">
        <w:rPr>
          <w:b/>
          <w:bCs/>
        </w:rPr>
        <w:t>7</w:t>
      </w:r>
      <w:r>
        <w:t xml:space="preserve"> can be compared to that of [Re(CO)</w:t>
      </w:r>
      <w:r w:rsidRPr="00D678B5">
        <w:rPr>
          <w:vertAlign w:val="subscript"/>
        </w:rPr>
        <w:t>6</w:t>
      </w:r>
      <w:r>
        <w:t>][ReF</w:t>
      </w:r>
      <w:r w:rsidRPr="00D678B5">
        <w:rPr>
          <w:vertAlign w:val="subscript"/>
        </w:rPr>
        <w:t>6</w:t>
      </w:r>
      <w:r>
        <w:t xml:space="preserve">] which was previously reported (Bruce, D.M.; Holloway, J.H.; Russell, D.R. </w:t>
      </w:r>
      <w:r w:rsidRPr="00D678B5">
        <w:rPr>
          <w:i/>
          <w:iCs/>
        </w:rPr>
        <w:t>J. Chem. Soc.: Dalton Trans.</w:t>
      </w:r>
      <w:r>
        <w:t xml:space="preserve"> </w:t>
      </w:r>
      <w:r w:rsidRPr="00D678B5">
        <w:rPr>
          <w:b/>
          <w:bCs/>
        </w:rPr>
        <w:t>1978</w:t>
      </w:r>
      <w:r>
        <w:t xml:space="preserve">, 1627). In one of the compounds the average </w:t>
      </w:r>
      <w:proofErr w:type="spellStart"/>
      <w:r>
        <w:t>ReC</w:t>
      </w:r>
      <w:proofErr w:type="spellEnd"/>
      <w:r>
        <w:t xml:space="preserve"> distance is 1.991 Å while in the other it is 2.033 Å. The IR spectrum of [Re(CO)</w:t>
      </w:r>
      <w:r w:rsidRPr="00D678B5">
        <w:rPr>
          <w:vertAlign w:val="subscript"/>
        </w:rPr>
        <w:t>6</w:t>
      </w:r>
      <w:r>
        <w:t>][ReF</w:t>
      </w:r>
      <w:r w:rsidRPr="00D678B5">
        <w:rPr>
          <w:vertAlign w:val="subscript"/>
        </w:rPr>
        <w:t>6</w:t>
      </w:r>
      <w:r>
        <w:t xml:space="preserve">] has also been reported (Holloway, J.H.; Senior, J.B.; </w:t>
      </w:r>
      <w:proofErr w:type="spellStart"/>
      <w:r>
        <w:t>Szary</w:t>
      </w:r>
      <w:proofErr w:type="spellEnd"/>
      <w:r>
        <w:t xml:space="preserve">, A.C. </w:t>
      </w:r>
      <w:r w:rsidRPr="00D678B5">
        <w:rPr>
          <w:i/>
          <w:iCs/>
        </w:rPr>
        <w:t>J. Chem. Soc.: Dalton Trans.</w:t>
      </w:r>
      <w:r w:rsidRPr="00D678B5">
        <w:rPr>
          <w:b/>
          <w:bCs/>
        </w:rPr>
        <w:t>1987</w:t>
      </w:r>
      <w:r>
        <w:t xml:space="preserve">, 741) and is shown below. Based on this information, which </w:t>
      </w:r>
      <w:proofErr w:type="spellStart"/>
      <w:r>
        <w:t>ReC</w:t>
      </w:r>
      <w:proofErr w:type="spellEnd"/>
      <w:r>
        <w:t xml:space="preserve"> bond length likely corresponds to which compound? Why?</w:t>
      </w:r>
    </w:p>
    <w:p w14:paraId="605CE697" w14:textId="77777777" w:rsidR="00D678B5" w:rsidRDefault="00D678B5" w:rsidP="00D678B5">
      <w:pPr>
        <w:ind w:left="720"/>
      </w:pPr>
    </w:p>
    <w:tbl>
      <w:tblPr>
        <w:tblStyle w:val="TableGrid"/>
        <w:tblW w:w="0" w:type="auto"/>
        <w:tblInd w:w="720" w:type="dxa"/>
        <w:tblLook w:val="04A0" w:firstRow="1" w:lastRow="0" w:firstColumn="1" w:lastColumn="0" w:noHBand="0" w:noVBand="1"/>
      </w:tblPr>
      <w:tblGrid>
        <w:gridCol w:w="2644"/>
        <w:gridCol w:w="2613"/>
        <w:gridCol w:w="2653"/>
      </w:tblGrid>
      <w:tr w:rsidR="00D678B5" w14:paraId="1357C9C5" w14:textId="77777777" w:rsidTr="0091516A">
        <w:tc>
          <w:tcPr>
            <w:tcW w:w="2876" w:type="dxa"/>
          </w:tcPr>
          <w:p w14:paraId="67071B6D" w14:textId="77777777" w:rsidR="00D678B5" w:rsidRDefault="00D678B5" w:rsidP="0091516A"/>
        </w:tc>
        <w:tc>
          <w:tcPr>
            <w:tcW w:w="2877" w:type="dxa"/>
            <w:vAlign w:val="center"/>
          </w:tcPr>
          <w:p w14:paraId="16B40602" w14:textId="77777777" w:rsidR="00D678B5" w:rsidRPr="00367865" w:rsidRDefault="00D678B5" w:rsidP="0091516A">
            <w:pPr>
              <w:jc w:val="center"/>
              <w:rPr>
                <w:b/>
                <w:bCs/>
              </w:rPr>
            </w:pPr>
            <w:r w:rsidRPr="00367865">
              <w:rPr>
                <w:b/>
                <w:bCs/>
              </w:rPr>
              <w:t>L = CO</w:t>
            </w:r>
          </w:p>
        </w:tc>
        <w:tc>
          <w:tcPr>
            <w:tcW w:w="2877" w:type="dxa"/>
            <w:vAlign w:val="center"/>
          </w:tcPr>
          <w:p w14:paraId="1357334D" w14:textId="77777777" w:rsidR="00D678B5" w:rsidRPr="00367865" w:rsidRDefault="00D678B5" w:rsidP="0091516A">
            <w:pPr>
              <w:jc w:val="center"/>
              <w:rPr>
                <w:b/>
                <w:bCs/>
                <w:vertAlign w:val="superscript"/>
              </w:rPr>
            </w:pPr>
            <w:r w:rsidRPr="00367865">
              <w:rPr>
                <w:b/>
                <w:bCs/>
              </w:rPr>
              <w:t xml:space="preserve">L = </w:t>
            </w:r>
            <w:proofErr w:type="spellStart"/>
            <w:r w:rsidRPr="00367865">
              <w:rPr>
                <w:b/>
                <w:bCs/>
              </w:rPr>
              <w:t>CNPh</w:t>
            </w:r>
            <w:r w:rsidRPr="00367865">
              <w:rPr>
                <w:b/>
                <w:bCs/>
                <w:vertAlign w:val="superscript"/>
              </w:rPr>
              <w:t>pF</w:t>
            </w:r>
            <w:proofErr w:type="spellEnd"/>
          </w:p>
        </w:tc>
      </w:tr>
      <w:tr w:rsidR="00D678B5" w14:paraId="2181B0C9" w14:textId="77777777" w:rsidTr="0091516A">
        <w:tc>
          <w:tcPr>
            <w:tcW w:w="2876" w:type="dxa"/>
          </w:tcPr>
          <w:p w14:paraId="29E45845" w14:textId="77777777" w:rsidR="00D678B5" w:rsidRPr="00367865" w:rsidRDefault="00D678B5" w:rsidP="0091516A">
            <w:proofErr w:type="spellStart"/>
            <w:r w:rsidRPr="00367865">
              <w:t>ν</w:t>
            </w:r>
            <w:r>
              <w:rPr>
                <w:vertAlign w:val="subscript"/>
              </w:rPr>
              <w:t>CX</w:t>
            </w:r>
            <w:proofErr w:type="spellEnd"/>
            <w:r>
              <w:t xml:space="preserve"> for free L (cm</w:t>
            </w:r>
            <w:r>
              <w:rPr>
                <w:vertAlign w:val="superscript"/>
              </w:rPr>
              <w:t>-1</w:t>
            </w:r>
            <w:r>
              <w:t>)</w:t>
            </w:r>
          </w:p>
        </w:tc>
        <w:tc>
          <w:tcPr>
            <w:tcW w:w="2877" w:type="dxa"/>
            <w:vAlign w:val="center"/>
          </w:tcPr>
          <w:p w14:paraId="381B1068" w14:textId="77777777" w:rsidR="00D678B5" w:rsidRDefault="00D678B5" w:rsidP="0091516A">
            <w:pPr>
              <w:jc w:val="center"/>
            </w:pPr>
            <w:r>
              <w:t>2143</w:t>
            </w:r>
          </w:p>
        </w:tc>
        <w:tc>
          <w:tcPr>
            <w:tcW w:w="2877" w:type="dxa"/>
            <w:vAlign w:val="center"/>
          </w:tcPr>
          <w:p w14:paraId="0151283F" w14:textId="77777777" w:rsidR="00D678B5" w:rsidRDefault="00D678B5" w:rsidP="0091516A">
            <w:pPr>
              <w:jc w:val="center"/>
            </w:pPr>
            <w:r>
              <w:t>2129</w:t>
            </w:r>
          </w:p>
        </w:tc>
      </w:tr>
      <w:tr w:rsidR="00D678B5" w14:paraId="3FF592A6" w14:textId="77777777" w:rsidTr="0091516A">
        <w:tc>
          <w:tcPr>
            <w:tcW w:w="2876" w:type="dxa"/>
          </w:tcPr>
          <w:p w14:paraId="0767D5D5" w14:textId="77777777" w:rsidR="00D678B5" w:rsidRPr="00367865" w:rsidRDefault="00D678B5" w:rsidP="0091516A">
            <w:pPr>
              <w:rPr>
                <w:vertAlign w:val="superscript"/>
              </w:rPr>
            </w:pPr>
            <w:proofErr w:type="spellStart"/>
            <w:r w:rsidRPr="00367865">
              <w:t>ν</w:t>
            </w:r>
            <w:r>
              <w:rPr>
                <w:vertAlign w:val="subscript"/>
              </w:rPr>
              <w:t>CX</w:t>
            </w:r>
            <w:proofErr w:type="spellEnd"/>
            <w:r>
              <w:t xml:space="preserve"> for [ReL</w:t>
            </w:r>
            <w:r>
              <w:rPr>
                <w:vertAlign w:val="subscript"/>
              </w:rPr>
              <w:t>6</w:t>
            </w:r>
            <w:r>
              <w:t>]</w:t>
            </w:r>
            <w:r>
              <w:rPr>
                <w:vertAlign w:val="superscript"/>
              </w:rPr>
              <w:t>+</w:t>
            </w:r>
            <w:r>
              <w:t xml:space="preserve"> (cm</w:t>
            </w:r>
            <w:r>
              <w:rPr>
                <w:vertAlign w:val="superscript"/>
              </w:rPr>
              <w:t>-1</w:t>
            </w:r>
            <w:r>
              <w:t>)</w:t>
            </w:r>
          </w:p>
        </w:tc>
        <w:tc>
          <w:tcPr>
            <w:tcW w:w="2877" w:type="dxa"/>
            <w:vAlign w:val="center"/>
          </w:tcPr>
          <w:p w14:paraId="3582FDF2" w14:textId="77777777" w:rsidR="00D678B5" w:rsidRDefault="00D678B5" w:rsidP="0091516A">
            <w:pPr>
              <w:jc w:val="center"/>
            </w:pPr>
            <w:r>
              <w:t>2086</w:t>
            </w:r>
          </w:p>
        </w:tc>
        <w:tc>
          <w:tcPr>
            <w:tcW w:w="2877" w:type="dxa"/>
            <w:vAlign w:val="center"/>
          </w:tcPr>
          <w:p w14:paraId="7D54F986" w14:textId="77777777" w:rsidR="00D678B5" w:rsidRDefault="00D678B5" w:rsidP="0091516A">
            <w:pPr>
              <w:jc w:val="center"/>
            </w:pPr>
            <w:r>
              <w:t>2074</w:t>
            </w:r>
          </w:p>
        </w:tc>
      </w:tr>
      <w:tr w:rsidR="00D678B5" w14:paraId="07063C62" w14:textId="77777777" w:rsidTr="0091516A">
        <w:tc>
          <w:tcPr>
            <w:tcW w:w="2876" w:type="dxa"/>
          </w:tcPr>
          <w:p w14:paraId="4B07C5A4" w14:textId="77777777" w:rsidR="00D678B5" w:rsidRDefault="00D678B5" w:rsidP="0091516A">
            <w:r>
              <w:t>Re-C (Å)</w:t>
            </w:r>
          </w:p>
        </w:tc>
        <w:tc>
          <w:tcPr>
            <w:tcW w:w="2877" w:type="dxa"/>
            <w:vAlign w:val="center"/>
          </w:tcPr>
          <w:p w14:paraId="04360E88" w14:textId="77777777" w:rsidR="00D678B5" w:rsidRDefault="00D678B5" w:rsidP="0091516A">
            <w:pPr>
              <w:jc w:val="center"/>
            </w:pPr>
          </w:p>
        </w:tc>
        <w:tc>
          <w:tcPr>
            <w:tcW w:w="2877" w:type="dxa"/>
            <w:vAlign w:val="center"/>
          </w:tcPr>
          <w:p w14:paraId="28D824BD" w14:textId="77777777" w:rsidR="00D678B5" w:rsidRDefault="00D678B5" w:rsidP="0091516A">
            <w:pPr>
              <w:jc w:val="center"/>
            </w:pPr>
          </w:p>
        </w:tc>
      </w:tr>
    </w:tbl>
    <w:p w14:paraId="26DED553" w14:textId="77777777" w:rsidR="00867089" w:rsidRDefault="00867089" w:rsidP="00867089"/>
    <w:sectPr w:rsidR="00867089">
      <w:head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E218D" w14:textId="77777777" w:rsidR="00A21304" w:rsidRDefault="00A21304" w:rsidP="00A967DA">
      <w:r>
        <w:separator/>
      </w:r>
    </w:p>
  </w:endnote>
  <w:endnote w:type="continuationSeparator" w:id="0">
    <w:p w14:paraId="463B1064" w14:textId="77777777" w:rsidR="00A21304" w:rsidRDefault="00A21304" w:rsidP="00A9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Franklin Gothic Medium Cond"/>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FEF2F" w14:textId="77777777" w:rsidR="00A21304" w:rsidRDefault="00A21304" w:rsidP="00A967DA">
      <w:r>
        <w:separator/>
      </w:r>
    </w:p>
  </w:footnote>
  <w:footnote w:type="continuationSeparator" w:id="0">
    <w:p w14:paraId="68E05EB6" w14:textId="77777777" w:rsidR="00A21304" w:rsidRDefault="00A21304" w:rsidP="00A96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D195D" w14:textId="1442519C" w:rsidR="00A967DA" w:rsidRPr="00D102C0" w:rsidRDefault="004C2977" w:rsidP="00A967DA">
    <w:pPr>
      <w:spacing w:before="75" w:after="75"/>
      <w:outlineLvl w:val="0"/>
      <w:rPr>
        <w:kern w:val="36"/>
      </w:rPr>
    </w:pPr>
    <w:r>
      <w:rPr>
        <w:b/>
      </w:rPr>
      <w:t>Rhenium isocyanide complexes</w:t>
    </w:r>
  </w:p>
  <w:p w14:paraId="36E2CCCB" w14:textId="3FE63954" w:rsidR="00A967DA" w:rsidRDefault="00A967DA" w:rsidP="00A967DA">
    <w:pPr>
      <w:pStyle w:val="Header"/>
      <w:rPr>
        <w:rFonts w:cs="Comic Sans MS"/>
        <w:color w:val="000000"/>
        <w:sz w:val="15"/>
        <w:szCs w:val="15"/>
      </w:rPr>
    </w:pPr>
    <w:r>
      <w:rPr>
        <w:rFonts w:cs="Comic Sans MS"/>
        <w:color w:val="000000"/>
        <w:sz w:val="15"/>
        <w:szCs w:val="15"/>
      </w:rPr>
      <w:t xml:space="preserve">Created by Chip Nataro, Lafayette College (nataroc@lafayette.edu) and posted on </w:t>
    </w:r>
    <w:proofErr w:type="spellStart"/>
    <w:r>
      <w:rPr>
        <w:rFonts w:cs="Comic Sans MS"/>
        <w:color w:val="000000"/>
        <w:sz w:val="15"/>
        <w:szCs w:val="15"/>
      </w:rPr>
      <w:t>VIPEr</w:t>
    </w:r>
    <w:proofErr w:type="spellEnd"/>
    <w:r>
      <w:rPr>
        <w:rFonts w:cs="Comic Sans MS"/>
        <w:color w:val="000000"/>
        <w:sz w:val="15"/>
        <w:szCs w:val="15"/>
      </w:rPr>
      <w:t xml:space="preserve"> (w</w:t>
    </w:r>
    <w:r w:rsidR="00551833">
      <w:rPr>
        <w:rFonts w:cs="Comic Sans MS"/>
        <w:color w:val="000000"/>
        <w:sz w:val="15"/>
        <w:szCs w:val="15"/>
      </w:rPr>
      <w:t>w</w:t>
    </w:r>
    <w:r w:rsidR="00D65D24">
      <w:rPr>
        <w:rFonts w:cs="Comic Sans MS"/>
        <w:color w:val="000000"/>
        <w:sz w:val="15"/>
        <w:szCs w:val="15"/>
      </w:rPr>
      <w:t xml:space="preserve">w.ionicviper.org) on </w:t>
    </w:r>
    <w:r w:rsidR="001815A0">
      <w:rPr>
        <w:rFonts w:cs="Comic Sans MS"/>
        <w:color w:val="000000"/>
        <w:sz w:val="15"/>
        <w:szCs w:val="15"/>
      </w:rPr>
      <w:t>August 26</w:t>
    </w:r>
    <w:r w:rsidR="00D65D24">
      <w:rPr>
        <w:rFonts w:cs="Comic Sans MS"/>
        <w:color w:val="000000"/>
        <w:sz w:val="15"/>
        <w:szCs w:val="15"/>
      </w:rPr>
      <w:t xml:space="preserve">, </w:t>
    </w:r>
    <w:r w:rsidR="006850FA">
      <w:rPr>
        <w:rFonts w:cs="Comic Sans MS"/>
        <w:color w:val="000000"/>
        <w:sz w:val="15"/>
        <w:szCs w:val="15"/>
      </w:rPr>
      <w:t>20</w:t>
    </w:r>
    <w:r w:rsidR="00867089">
      <w:rPr>
        <w:rFonts w:cs="Comic Sans MS"/>
        <w:color w:val="000000"/>
        <w:sz w:val="15"/>
        <w:szCs w:val="15"/>
      </w:rPr>
      <w:t>25</w:t>
    </w:r>
    <w:r w:rsidR="00D571EE">
      <w:rPr>
        <w:rFonts w:cs="Comic Sans MS"/>
        <w:color w:val="000000"/>
        <w:sz w:val="15"/>
        <w:szCs w:val="15"/>
      </w:rPr>
      <w:t>, Copyright Chip Nataro 20</w:t>
    </w:r>
    <w:r w:rsidR="00867089">
      <w:rPr>
        <w:rFonts w:cs="Comic Sans MS"/>
        <w:color w:val="000000"/>
        <w:sz w:val="15"/>
        <w:szCs w:val="15"/>
      </w:rPr>
      <w:t>25</w:t>
    </w:r>
    <w:r>
      <w:rPr>
        <w:rFonts w:cs="Comic Sans MS"/>
        <w:color w:val="000000"/>
        <w:sz w:val="15"/>
        <w:szCs w:val="15"/>
      </w:rPr>
      <w:t xml:space="preserve">. This work is licensed under the Creative Commons Attribution Non-commercial Share Alike International License. To view a copy of this license visit </w:t>
    </w:r>
    <w:r w:rsidRPr="00E602BC">
      <w:rPr>
        <w:rFonts w:cs="Comic Sans MS"/>
        <w:color w:val="000000"/>
        <w:sz w:val="15"/>
        <w:szCs w:val="15"/>
      </w:rPr>
      <w:t>https://creativecommons.org/licenses/by-nc-sa/4.0/</w:t>
    </w:r>
    <w:r>
      <w:rPr>
        <w:rFonts w:cs="Comic Sans MS"/>
        <w:color w:val="000000"/>
        <w:sz w:val="15"/>
        <w:szCs w:val="15"/>
      </w:rPr>
      <w:t>.</w:t>
    </w:r>
  </w:p>
  <w:p w14:paraId="35D75094" w14:textId="77777777" w:rsidR="00A967DA" w:rsidRDefault="00A967DA">
    <w:pPr>
      <w:pStyle w:val="Header"/>
    </w:pPr>
  </w:p>
  <w:p w14:paraId="203B0686" w14:textId="77777777" w:rsidR="00A967DA" w:rsidRDefault="00A96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40FC"/>
    <w:multiLevelType w:val="multilevel"/>
    <w:tmpl w:val="78EA4CEC"/>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D8B0D41"/>
    <w:multiLevelType w:val="hybridMultilevel"/>
    <w:tmpl w:val="669019E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F1"/>
    <w:rsid w:val="000124D9"/>
    <w:rsid w:val="00025328"/>
    <w:rsid w:val="0005454F"/>
    <w:rsid w:val="00066A29"/>
    <w:rsid w:val="00067500"/>
    <w:rsid w:val="000822F1"/>
    <w:rsid w:val="00082652"/>
    <w:rsid w:val="00090316"/>
    <w:rsid w:val="000A715C"/>
    <w:rsid w:val="000C1940"/>
    <w:rsid w:val="000D17D6"/>
    <w:rsid w:val="000E3396"/>
    <w:rsid w:val="00102D5B"/>
    <w:rsid w:val="00125EA6"/>
    <w:rsid w:val="001474D9"/>
    <w:rsid w:val="00151093"/>
    <w:rsid w:val="00155FD5"/>
    <w:rsid w:val="00156D20"/>
    <w:rsid w:val="001815A0"/>
    <w:rsid w:val="001A1B30"/>
    <w:rsid w:val="001F1141"/>
    <w:rsid w:val="001F4CF5"/>
    <w:rsid w:val="0020408E"/>
    <w:rsid w:val="00242A41"/>
    <w:rsid w:val="0024704B"/>
    <w:rsid w:val="002605B9"/>
    <w:rsid w:val="00267770"/>
    <w:rsid w:val="002777DA"/>
    <w:rsid w:val="00277B29"/>
    <w:rsid w:val="002D7BF6"/>
    <w:rsid w:val="00300C3A"/>
    <w:rsid w:val="00301D96"/>
    <w:rsid w:val="003023A9"/>
    <w:rsid w:val="00312142"/>
    <w:rsid w:val="00313791"/>
    <w:rsid w:val="00314BA7"/>
    <w:rsid w:val="00320C84"/>
    <w:rsid w:val="00347904"/>
    <w:rsid w:val="003531C2"/>
    <w:rsid w:val="00393658"/>
    <w:rsid w:val="003A3C24"/>
    <w:rsid w:val="003E523E"/>
    <w:rsid w:val="003F2D55"/>
    <w:rsid w:val="003F3626"/>
    <w:rsid w:val="003F4CFD"/>
    <w:rsid w:val="004162DE"/>
    <w:rsid w:val="00421932"/>
    <w:rsid w:val="00433EF4"/>
    <w:rsid w:val="004571B7"/>
    <w:rsid w:val="004A6926"/>
    <w:rsid w:val="004B2477"/>
    <w:rsid w:val="004C1B17"/>
    <w:rsid w:val="004C2977"/>
    <w:rsid w:val="004F2EA0"/>
    <w:rsid w:val="005012DE"/>
    <w:rsid w:val="0051721E"/>
    <w:rsid w:val="005418F1"/>
    <w:rsid w:val="0054789C"/>
    <w:rsid w:val="00551833"/>
    <w:rsid w:val="00555B00"/>
    <w:rsid w:val="005576CC"/>
    <w:rsid w:val="00565794"/>
    <w:rsid w:val="0056637B"/>
    <w:rsid w:val="00573F9B"/>
    <w:rsid w:val="005A2897"/>
    <w:rsid w:val="005A4A59"/>
    <w:rsid w:val="005C4AE5"/>
    <w:rsid w:val="005E031F"/>
    <w:rsid w:val="005E13D3"/>
    <w:rsid w:val="00632003"/>
    <w:rsid w:val="006510D7"/>
    <w:rsid w:val="00657FD2"/>
    <w:rsid w:val="0068122D"/>
    <w:rsid w:val="006850FA"/>
    <w:rsid w:val="00693430"/>
    <w:rsid w:val="006A24F9"/>
    <w:rsid w:val="006A3416"/>
    <w:rsid w:val="006D2D4D"/>
    <w:rsid w:val="006D7791"/>
    <w:rsid w:val="006E6417"/>
    <w:rsid w:val="00707D19"/>
    <w:rsid w:val="007208F3"/>
    <w:rsid w:val="00723BFF"/>
    <w:rsid w:val="00774D50"/>
    <w:rsid w:val="007863BA"/>
    <w:rsid w:val="0079675E"/>
    <w:rsid w:val="00796F41"/>
    <w:rsid w:val="007E0002"/>
    <w:rsid w:val="0080242D"/>
    <w:rsid w:val="00835239"/>
    <w:rsid w:val="00844680"/>
    <w:rsid w:val="00867089"/>
    <w:rsid w:val="008769F7"/>
    <w:rsid w:val="00880CAB"/>
    <w:rsid w:val="008A5E41"/>
    <w:rsid w:val="008B325B"/>
    <w:rsid w:val="008B601B"/>
    <w:rsid w:val="008D08E5"/>
    <w:rsid w:val="0093060B"/>
    <w:rsid w:val="00946CBB"/>
    <w:rsid w:val="00967F2E"/>
    <w:rsid w:val="00972677"/>
    <w:rsid w:val="0098459B"/>
    <w:rsid w:val="009860C2"/>
    <w:rsid w:val="009A457F"/>
    <w:rsid w:val="009C61CE"/>
    <w:rsid w:val="009E512D"/>
    <w:rsid w:val="009E6716"/>
    <w:rsid w:val="00A0522D"/>
    <w:rsid w:val="00A15450"/>
    <w:rsid w:val="00A21304"/>
    <w:rsid w:val="00A278D2"/>
    <w:rsid w:val="00A45E9B"/>
    <w:rsid w:val="00A66775"/>
    <w:rsid w:val="00A7307A"/>
    <w:rsid w:val="00A771F4"/>
    <w:rsid w:val="00A967DA"/>
    <w:rsid w:val="00AC07B2"/>
    <w:rsid w:val="00AF2814"/>
    <w:rsid w:val="00AF2B74"/>
    <w:rsid w:val="00AF3D84"/>
    <w:rsid w:val="00B06A67"/>
    <w:rsid w:val="00B12002"/>
    <w:rsid w:val="00B34755"/>
    <w:rsid w:val="00B47B0B"/>
    <w:rsid w:val="00B569E9"/>
    <w:rsid w:val="00B61DF4"/>
    <w:rsid w:val="00BD4F4E"/>
    <w:rsid w:val="00BD67E3"/>
    <w:rsid w:val="00BE2AAB"/>
    <w:rsid w:val="00C346B5"/>
    <w:rsid w:val="00C44063"/>
    <w:rsid w:val="00C52F8E"/>
    <w:rsid w:val="00C561D0"/>
    <w:rsid w:val="00C67C88"/>
    <w:rsid w:val="00C73D5B"/>
    <w:rsid w:val="00C76620"/>
    <w:rsid w:val="00C96E46"/>
    <w:rsid w:val="00CD147D"/>
    <w:rsid w:val="00CD16FE"/>
    <w:rsid w:val="00CF6651"/>
    <w:rsid w:val="00D00A1C"/>
    <w:rsid w:val="00D14C0D"/>
    <w:rsid w:val="00D239DA"/>
    <w:rsid w:val="00D44C4F"/>
    <w:rsid w:val="00D535CF"/>
    <w:rsid w:val="00D54D49"/>
    <w:rsid w:val="00D571EE"/>
    <w:rsid w:val="00D65D24"/>
    <w:rsid w:val="00D678B5"/>
    <w:rsid w:val="00D81191"/>
    <w:rsid w:val="00D82BE5"/>
    <w:rsid w:val="00D84275"/>
    <w:rsid w:val="00D90413"/>
    <w:rsid w:val="00DC2FFB"/>
    <w:rsid w:val="00DD22DA"/>
    <w:rsid w:val="00DE4CA3"/>
    <w:rsid w:val="00DE4FA3"/>
    <w:rsid w:val="00E024AD"/>
    <w:rsid w:val="00E135DF"/>
    <w:rsid w:val="00E15D6F"/>
    <w:rsid w:val="00E30FC4"/>
    <w:rsid w:val="00E41D62"/>
    <w:rsid w:val="00E57AD4"/>
    <w:rsid w:val="00E6589F"/>
    <w:rsid w:val="00EA413B"/>
    <w:rsid w:val="00EB3334"/>
    <w:rsid w:val="00ED1D4F"/>
    <w:rsid w:val="00ED5B1E"/>
    <w:rsid w:val="00ED7190"/>
    <w:rsid w:val="00F22CDD"/>
    <w:rsid w:val="00F30A10"/>
    <w:rsid w:val="00F650FF"/>
    <w:rsid w:val="00F82FE1"/>
    <w:rsid w:val="00F910EC"/>
    <w:rsid w:val="00F920B1"/>
    <w:rsid w:val="00FD43A9"/>
    <w:rsid w:val="00FF5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B2211D"/>
  <w15:docId w15:val="{9EAA0937-1AEB-499C-9024-53A49951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860C2"/>
  </w:style>
  <w:style w:type="paragraph" w:styleId="Header">
    <w:name w:val="header"/>
    <w:basedOn w:val="Normal"/>
    <w:link w:val="HeaderChar"/>
    <w:uiPriority w:val="99"/>
    <w:rsid w:val="00A967DA"/>
    <w:pPr>
      <w:tabs>
        <w:tab w:val="center" w:pos="4680"/>
        <w:tab w:val="right" w:pos="9360"/>
      </w:tabs>
    </w:pPr>
  </w:style>
  <w:style w:type="character" w:customStyle="1" w:styleId="HeaderChar">
    <w:name w:val="Header Char"/>
    <w:basedOn w:val="DefaultParagraphFont"/>
    <w:link w:val="Header"/>
    <w:uiPriority w:val="99"/>
    <w:rsid w:val="00A967DA"/>
    <w:rPr>
      <w:sz w:val="24"/>
      <w:szCs w:val="24"/>
    </w:rPr>
  </w:style>
  <w:style w:type="paragraph" w:styleId="Footer">
    <w:name w:val="footer"/>
    <w:basedOn w:val="Normal"/>
    <w:link w:val="FooterChar"/>
    <w:rsid w:val="00A967DA"/>
    <w:pPr>
      <w:tabs>
        <w:tab w:val="center" w:pos="4680"/>
        <w:tab w:val="right" w:pos="9360"/>
      </w:tabs>
    </w:pPr>
  </w:style>
  <w:style w:type="character" w:customStyle="1" w:styleId="FooterChar">
    <w:name w:val="Footer Char"/>
    <w:basedOn w:val="DefaultParagraphFont"/>
    <w:link w:val="Footer"/>
    <w:rsid w:val="00A967DA"/>
    <w:rPr>
      <w:sz w:val="24"/>
      <w:szCs w:val="24"/>
    </w:rPr>
  </w:style>
  <w:style w:type="table" w:styleId="TableGrid">
    <w:name w:val="Table Grid"/>
    <w:basedOn w:val="TableNormal"/>
    <w:rsid w:val="00156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3791"/>
    <w:rPr>
      <w:rFonts w:ascii="Lucida Grande" w:hAnsi="Lucida Grande"/>
      <w:sz w:val="18"/>
      <w:szCs w:val="18"/>
    </w:rPr>
  </w:style>
  <w:style w:type="character" w:customStyle="1" w:styleId="BalloonTextChar">
    <w:name w:val="Balloon Text Char"/>
    <w:basedOn w:val="DefaultParagraphFont"/>
    <w:link w:val="BalloonText"/>
    <w:rsid w:val="00313791"/>
    <w:rPr>
      <w:rFonts w:ascii="Lucida Grande" w:hAnsi="Lucida Grande"/>
      <w:sz w:val="18"/>
      <w:szCs w:val="18"/>
    </w:rPr>
  </w:style>
  <w:style w:type="character" w:styleId="Hyperlink">
    <w:name w:val="Hyperlink"/>
    <w:basedOn w:val="DefaultParagraphFont"/>
    <w:rsid w:val="00D81191"/>
    <w:rPr>
      <w:color w:val="0563C1" w:themeColor="hyperlink"/>
      <w:u w:val="single"/>
    </w:rPr>
  </w:style>
  <w:style w:type="paragraph" w:styleId="ListParagraph">
    <w:name w:val="List Paragraph"/>
    <w:basedOn w:val="Normal"/>
    <w:uiPriority w:val="34"/>
    <w:qFormat/>
    <w:rsid w:val="007863BA"/>
    <w:pPr>
      <w:ind w:left="720"/>
      <w:contextualSpacing/>
    </w:pPr>
  </w:style>
  <w:style w:type="character" w:styleId="FollowedHyperlink">
    <w:name w:val="FollowedHyperlink"/>
    <w:basedOn w:val="DefaultParagraphFont"/>
    <w:rsid w:val="008769F7"/>
    <w:rPr>
      <w:color w:val="954F72" w:themeColor="followedHyperlink"/>
      <w:u w:val="single"/>
    </w:rPr>
  </w:style>
  <w:style w:type="character" w:styleId="UnresolvedMention">
    <w:name w:val="Unresolved Mention"/>
    <w:basedOn w:val="DefaultParagraphFont"/>
    <w:uiPriority w:val="99"/>
    <w:semiHidden/>
    <w:unhideWhenUsed/>
    <w:rsid w:val="004C2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96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2/zaac.202200320" TargetMode="Externa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Nataro</dc:creator>
  <cp:keywords/>
  <dc:description/>
  <cp:lastModifiedBy>Nicole Crowder (ncrowder)</cp:lastModifiedBy>
  <cp:revision>2</cp:revision>
  <dcterms:created xsi:type="dcterms:W3CDTF">2025-10-08T15:23:00Z</dcterms:created>
  <dcterms:modified xsi:type="dcterms:W3CDTF">2025-10-08T15:23:00Z</dcterms:modified>
</cp:coreProperties>
</file>