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5DFD" w:rsidRPr="00F85DFD" w:rsidRDefault="00F85DFD">
      <w:pPr>
        <w:rPr>
          <w:rFonts w:asciiTheme="majorHAnsi" w:hAnsiTheme="majorHAnsi"/>
          <w:szCs w:val="22"/>
        </w:rPr>
      </w:pPr>
    </w:p>
    <w:p w:rsidR="00F85DFD" w:rsidRPr="00F85DFD" w:rsidRDefault="00F85DFD">
      <w:pPr>
        <w:rPr>
          <w:rFonts w:asciiTheme="majorHAnsi" w:hAnsiTheme="majorHAnsi"/>
          <w:szCs w:val="22"/>
        </w:rPr>
      </w:pPr>
    </w:p>
    <w:p w:rsidR="009A31BE" w:rsidRPr="00F85DFD" w:rsidRDefault="00EB4015">
      <w:pPr>
        <w:rPr>
          <w:rFonts w:asciiTheme="majorHAnsi" w:hAnsiTheme="majorHAnsi"/>
          <w:szCs w:val="22"/>
        </w:rPr>
      </w:pPr>
      <w:r w:rsidRPr="00F85DFD">
        <w:rPr>
          <w:rFonts w:asciiTheme="majorHAnsi" w:hAnsiTheme="majorHAnsi"/>
          <w:szCs w:val="22"/>
        </w:rPr>
        <w:t xml:space="preserve">Reading Guide for “Sequential oxidation of </w:t>
      </w:r>
      <w:proofErr w:type="spellStart"/>
      <w:r w:rsidRPr="00F85DFD">
        <w:rPr>
          <w:rFonts w:asciiTheme="majorHAnsi" w:hAnsiTheme="majorHAnsi"/>
          <w:szCs w:val="22"/>
        </w:rPr>
        <w:t>thiolates</w:t>
      </w:r>
      <w:proofErr w:type="spellEnd"/>
      <w:r w:rsidRPr="00F85DFD">
        <w:rPr>
          <w:rFonts w:asciiTheme="majorHAnsi" w:hAnsiTheme="majorHAnsi"/>
          <w:szCs w:val="22"/>
        </w:rPr>
        <w:t xml:space="preserve"> and the cobalt </w:t>
      </w:r>
      <w:proofErr w:type="spellStart"/>
      <w:r w:rsidRPr="00F85DFD">
        <w:rPr>
          <w:rFonts w:asciiTheme="majorHAnsi" w:hAnsiTheme="majorHAnsi"/>
          <w:szCs w:val="22"/>
        </w:rPr>
        <w:t>metallocenter</w:t>
      </w:r>
      <w:proofErr w:type="spellEnd"/>
      <w:r w:rsidRPr="00F85DFD">
        <w:rPr>
          <w:rFonts w:asciiTheme="majorHAnsi" w:hAnsiTheme="majorHAnsi"/>
          <w:szCs w:val="22"/>
        </w:rPr>
        <w:t xml:space="preserve"> in a synthetic </w:t>
      </w:r>
      <w:proofErr w:type="spellStart"/>
      <w:r w:rsidRPr="00F85DFD">
        <w:rPr>
          <w:rFonts w:asciiTheme="majorHAnsi" w:hAnsiTheme="majorHAnsi"/>
          <w:szCs w:val="22"/>
        </w:rPr>
        <w:t>metallopeptide</w:t>
      </w:r>
      <w:proofErr w:type="spellEnd"/>
      <w:r w:rsidRPr="00F85DFD">
        <w:rPr>
          <w:rFonts w:asciiTheme="majorHAnsi" w:hAnsiTheme="majorHAnsi"/>
          <w:szCs w:val="22"/>
        </w:rPr>
        <w:t xml:space="preserve">: implications for the biosynthesis of nitrile </w:t>
      </w:r>
      <w:proofErr w:type="spellStart"/>
      <w:r w:rsidRPr="00F85DFD">
        <w:rPr>
          <w:rFonts w:asciiTheme="majorHAnsi" w:hAnsiTheme="majorHAnsi"/>
          <w:szCs w:val="22"/>
        </w:rPr>
        <w:t>hydratase</w:t>
      </w:r>
      <w:proofErr w:type="spellEnd"/>
      <w:r w:rsidRPr="00F85DFD">
        <w:rPr>
          <w:rFonts w:asciiTheme="majorHAnsi" w:hAnsiTheme="majorHAnsi"/>
          <w:szCs w:val="22"/>
        </w:rPr>
        <w:t xml:space="preserve">” </w:t>
      </w:r>
      <w:proofErr w:type="spellStart"/>
      <w:r w:rsidRPr="00F85DFD">
        <w:rPr>
          <w:rFonts w:asciiTheme="majorHAnsi" w:hAnsiTheme="majorHAnsi"/>
          <w:szCs w:val="22"/>
        </w:rPr>
        <w:t>Dutta</w:t>
      </w:r>
      <w:proofErr w:type="spellEnd"/>
      <w:r w:rsidRPr="00F85DFD">
        <w:rPr>
          <w:rFonts w:asciiTheme="majorHAnsi" w:hAnsiTheme="majorHAnsi"/>
          <w:szCs w:val="22"/>
        </w:rPr>
        <w:t xml:space="preserve">, A.; Flores, M; Roy, </w:t>
      </w:r>
      <w:proofErr w:type="spellStart"/>
      <w:r w:rsidRPr="00F85DFD">
        <w:rPr>
          <w:rFonts w:asciiTheme="majorHAnsi" w:hAnsiTheme="majorHAnsi"/>
          <w:szCs w:val="22"/>
        </w:rPr>
        <w:t>Souvik</w:t>
      </w:r>
      <w:proofErr w:type="spellEnd"/>
      <w:r w:rsidRPr="00F85DFD">
        <w:rPr>
          <w:rFonts w:asciiTheme="majorHAnsi" w:hAnsiTheme="majorHAnsi"/>
          <w:szCs w:val="22"/>
        </w:rPr>
        <w:t xml:space="preserve">, R.; Schmitt, J.C.; Hamilton, G.A.; Hartnett, H. E. Shearer, J. M.; Jones, A. K. </w:t>
      </w:r>
      <w:proofErr w:type="spellStart"/>
      <w:r w:rsidRPr="00F85DFD">
        <w:rPr>
          <w:rFonts w:asciiTheme="majorHAnsi" w:hAnsiTheme="majorHAnsi"/>
          <w:i/>
          <w:szCs w:val="22"/>
        </w:rPr>
        <w:t>Inorg</w:t>
      </w:r>
      <w:proofErr w:type="spellEnd"/>
      <w:r w:rsidRPr="00F85DFD">
        <w:rPr>
          <w:rFonts w:asciiTheme="majorHAnsi" w:hAnsiTheme="majorHAnsi"/>
          <w:i/>
          <w:szCs w:val="22"/>
        </w:rPr>
        <w:t xml:space="preserve">. </w:t>
      </w:r>
      <w:proofErr w:type="gramStart"/>
      <w:r w:rsidRPr="00F85DFD">
        <w:rPr>
          <w:rFonts w:asciiTheme="majorHAnsi" w:hAnsiTheme="majorHAnsi"/>
          <w:i/>
          <w:szCs w:val="22"/>
        </w:rPr>
        <w:t>Chem</w:t>
      </w:r>
      <w:r w:rsidRPr="00F85DFD">
        <w:rPr>
          <w:rFonts w:asciiTheme="majorHAnsi" w:hAnsiTheme="majorHAnsi"/>
          <w:szCs w:val="22"/>
        </w:rPr>
        <w:t xml:space="preserve">. </w:t>
      </w:r>
      <w:r w:rsidRPr="00F85DFD">
        <w:rPr>
          <w:rFonts w:asciiTheme="majorHAnsi" w:hAnsiTheme="majorHAnsi"/>
          <w:b/>
          <w:szCs w:val="22"/>
        </w:rPr>
        <w:t>2013</w:t>
      </w:r>
      <w:r w:rsidRPr="00F85DFD">
        <w:rPr>
          <w:rFonts w:asciiTheme="majorHAnsi" w:hAnsiTheme="majorHAnsi"/>
          <w:szCs w:val="22"/>
        </w:rPr>
        <w:t xml:space="preserve">, </w:t>
      </w:r>
      <w:r w:rsidRPr="00F85DFD">
        <w:rPr>
          <w:rFonts w:asciiTheme="majorHAnsi" w:hAnsiTheme="majorHAnsi"/>
          <w:i/>
          <w:szCs w:val="22"/>
        </w:rPr>
        <w:t>52</w:t>
      </w:r>
      <w:r w:rsidRPr="00F85DFD">
        <w:rPr>
          <w:rFonts w:asciiTheme="majorHAnsi" w:hAnsiTheme="majorHAnsi"/>
          <w:szCs w:val="22"/>
        </w:rPr>
        <w:t>, 5236.</w:t>
      </w:r>
      <w:proofErr w:type="gramEnd"/>
      <w:r w:rsidRPr="00F85DFD">
        <w:rPr>
          <w:rFonts w:asciiTheme="majorHAnsi" w:hAnsiTheme="majorHAnsi"/>
          <w:b/>
          <w:szCs w:val="22"/>
        </w:rPr>
        <w:t xml:space="preserve"> </w:t>
      </w:r>
      <w:hyperlink r:id="rId8">
        <w:r w:rsidRPr="00F85DFD">
          <w:rPr>
            <w:rFonts w:asciiTheme="majorHAnsi" w:hAnsiTheme="majorHAnsi"/>
            <w:color w:val="1155CC"/>
            <w:szCs w:val="22"/>
            <w:u w:val="single"/>
          </w:rPr>
          <w:t>http://dx.doi.org/10.1021/ic400171z</w:t>
        </w:r>
      </w:hyperlink>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D07577" w:rsidRDefault="00EB4015" w:rsidP="00D07577">
      <w:pPr>
        <w:numPr>
          <w:ilvl w:val="0"/>
          <w:numId w:val="2"/>
        </w:numPr>
        <w:ind w:left="360" w:hanging="359"/>
        <w:contextualSpacing/>
        <w:rPr>
          <w:rFonts w:asciiTheme="majorHAnsi" w:hAnsiTheme="majorHAnsi"/>
          <w:szCs w:val="22"/>
        </w:rPr>
      </w:pPr>
      <w:r w:rsidRPr="00D07577">
        <w:rPr>
          <w:rFonts w:asciiTheme="majorHAnsi" w:hAnsiTheme="majorHAnsi"/>
          <w:szCs w:val="22"/>
        </w:rPr>
        <w:t xml:space="preserve">What reaction does nitrile </w:t>
      </w:r>
      <w:proofErr w:type="spellStart"/>
      <w:r w:rsidRPr="00D07577">
        <w:rPr>
          <w:rFonts w:asciiTheme="majorHAnsi" w:hAnsiTheme="majorHAnsi"/>
          <w:szCs w:val="22"/>
        </w:rPr>
        <w:t>hydratase</w:t>
      </w:r>
      <w:proofErr w:type="spellEnd"/>
      <w:r w:rsidRPr="00D07577">
        <w:rPr>
          <w:rFonts w:asciiTheme="majorHAnsi" w:hAnsiTheme="majorHAnsi"/>
          <w:szCs w:val="22"/>
        </w:rPr>
        <w:t xml:space="preserve"> catalyze?  Write a balanced chemical reaction starting with acrylonitrile (shown below).</w:t>
      </w:r>
    </w:p>
    <w:p w:rsidR="009A31BE" w:rsidRPr="00F85DFD" w:rsidRDefault="00D07577" w:rsidP="00D07577">
      <w:pPr>
        <w:ind w:left="720"/>
        <w:rPr>
          <w:rFonts w:asciiTheme="majorHAnsi" w:hAnsiTheme="majorHAnsi"/>
          <w:szCs w:val="22"/>
        </w:rPr>
      </w:pPr>
      <w:r w:rsidRPr="00325A21">
        <w:rPr>
          <w:rFonts w:asciiTheme="majorHAnsi" w:hAnsiTheme="majorHAnsi"/>
          <w:noProof/>
          <w:szCs w:val="22"/>
        </w:rPr>
        <w:drawing>
          <wp:inline distT="114300" distB="114300" distL="114300" distR="114300" wp14:anchorId="6F8E7995" wp14:editId="47DB3B52">
            <wp:extent cx="1409700" cy="942975"/>
            <wp:effectExtent l="0" t="0" r="0" b="0"/>
            <wp:docPr id="9" name="image00.png" descr="acrylonitrile.png"/>
            <wp:cNvGraphicFramePr/>
            <a:graphic xmlns:a="http://schemas.openxmlformats.org/drawingml/2006/main">
              <a:graphicData uri="http://schemas.openxmlformats.org/drawingml/2006/picture">
                <pic:pic xmlns:pic="http://schemas.openxmlformats.org/drawingml/2006/picture">
                  <pic:nvPicPr>
                    <pic:cNvPr id="0" name="image00.png" descr="acrylonitrile.png"/>
                    <pic:cNvPicPr preferRelativeResize="0"/>
                  </pic:nvPicPr>
                  <pic:blipFill>
                    <a:blip r:embed="rId9"/>
                    <a:srcRect r="76282"/>
                    <a:stretch>
                      <a:fillRect/>
                    </a:stretch>
                  </pic:blipFill>
                  <pic:spPr>
                    <a:xfrm>
                      <a:off x="0" y="0"/>
                      <a:ext cx="1409700" cy="942975"/>
                    </a:xfrm>
                    <a:prstGeom prst="rect">
                      <a:avLst/>
                    </a:prstGeom>
                    <a:ln/>
                  </pic:spPr>
                </pic:pic>
              </a:graphicData>
            </a:graphic>
          </wp:inline>
        </w:drawing>
      </w:r>
    </w:p>
    <w:p w:rsidR="009A31BE" w:rsidRPr="00F85DFD" w:rsidRDefault="00EB4015">
      <w:pPr>
        <w:numPr>
          <w:ilvl w:val="0"/>
          <w:numId w:val="2"/>
        </w:numPr>
        <w:ind w:left="360" w:hanging="359"/>
        <w:contextualSpacing/>
        <w:rPr>
          <w:rFonts w:asciiTheme="majorHAnsi" w:hAnsiTheme="majorHAnsi"/>
          <w:szCs w:val="22"/>
        </w:rPr>
      </w:pPr>
      <w:r w:rsidRPr="00F85DFD">
        <w:rPr>
          <w:rFonts w:asciiTheme="majorHAnsi" w:hAnsiTheme="majorHAnsi"/>
          <w:szCs w:val="22"/>
        </w:rPr>
        <w:t xml:space="preserve">The Protein Data Bank (PDB) is a useful tool to visualize </w:t>
      </w:r>
      <w:r w:rsidR="00F85DFD">
        <w:rPr>
          <w:rFonts w:asciiTheme="majorHAnsi" w:hAnsiTheme="majorHAnsi"/>
          <w:szCs w:val="22"/>
        </w:rPr>
        <w:t>X</w:t>
      </w:r>
      <w:r w:rsidRPr="00F85DFD">
        <w:rPr>
          <w:rFonts w:asciiTheme="majorHAnsi" w:hAnsiTheme="majorHAnsi"/>
          <w:szCs w:val="22"/>
        </w:rPr>
        <w:t>-ray crystal structures of proteins.</w:t>
      </w:r>
    </w:p>
    <w:p w:rsidR="009A31BE" w:rsidRPr="00F85DFD" w:rsidRDefault="00EB4015">
      <w:pPr>
        <w:numPr>
          <w:ilvl w:val="1"/>
          <w:numId w:val="2"/>
        </w:numPr>
        <w:ind w:left="720" w:hanging="359"/>
        <w:contextualSpacing/>
        <w:rPr>
          <w:rFonts w:asciiTheme="majorHAnsi" w:hAnsiTheme="majorHAnsi"/>
          <w:szCs w:val="22"/>
        </w:rPr>
      </w:pPr>
      <w:r w:rsidRPr="00F85DFD">
        <w:rPr>
          <w:rFonts w:asciiTheme="majorHAnsi" w:hAnsiTheme="majorHAnsi"/>
          <w:szCs w:val="22"/>
        </w:rPr>
        <w:t>Access the PDB to visualize cobalt nitri</w:t>
      </w:r>
      <w:r w:rsidR="00F85DFD">
        <w:rPr>
          <w:rFonts w:asciiTheme="majorHAnsi" w:hAnsiTheme="majorHAnsi"/>
          <w:szCs w:val="22"/>
        </w:rPr>
        <w:t xml:space="preserve">le </w:t>
      </w:r>
      <w:proofErr w:type="spellStart"/>
      <w:r w:rsidR="00F85DFD">
        <w:rPr>
          <w:rFonts w:asciiTheme="majorHAnsi" w:hAnsiTheme="majorHAnsi"/>
          <w:szCs w:val="22"/>
        </w:rPr>
        <w:t>hydratase</w:t>
      </w:r>
      <w:proofErr w:type="spellEnd"/>
      <w:r w:rsidR="00F85DFD">
        <w:rPr>
          <w:rFonts w:asciiTheme="majorHAnsi" w:hAnsiTheme="majorHAnsi"/>
          <w:szCs w:val="22"/>
        </w:rPr>
        <w:t>. The PDB ID is 1UGP</w:t>
      </w:r>
      <w:r w:rsidRPr="00F85DFD">
        <w:rPr>
          <w:rFonts w:asciiTheme="majorHAnsi" w:hAnsiTheme="majorHAnsi"/>
          <w:szCs w:val="22"/>
        </w:rPr>
        <w:t xml:space="preserve">. </w:t>
      </w:r>
      <w:r w:rsidR="00F85DFD">
        <w:rPr>
          <w:rFonts w:asciiTheme="majorHAnsi" w:hAnsiTheme="majorHAnsi"/>
          <w:szCs w:val="22"/>
        </w:rPr>
        <w:t xml:space="preserve"> </w:t>
      </w:r>
      <w:r w:rsidR="00F85DFD" w:rsidRPr="00F85DFD">
        <w:rPr>
          <w:rFonts w:asciiTheme="majorHAnsi" w:hAnsiTheme="majorHAnsi"/>
          <w:szCs w:val="22"/>
        </w:rPr>
        <w:t>Scroll down to “</w:t>
      </w:r>
      <w:r w:rsidRPr="00F85DFD">
        <w:rPr>
          <w:rFonts w:asciiTheme="majorHAnsi" w:hAnsiTheme="majorHAnsi"/>
          <w:szCs w:val="22"/>
        </w:rPr>
        <w:t>Ligand</w:t>
      </w:r>
      <w:r w:rsidR="00F85DFD" w:rsidRPr="00F85DFD">
        <w:rPr>
          <w:rFonts w:asciiTheme="majorHAnsi" w:hAnsiTheme="majorHAnsi"/>
          <w:szCs w:val="22"/>
        </w:rPr>
        <w:t xml:space="preserve"> Chemical Component” and click Ligand</w:t>
      </w:r>
      <w:r w:rsidRPr="00F85DFD">
        <w:rPr>
          <w:rFonts w:asciiTheme="majorHAnsi" w:hAnsiTheme="majorHAnsi"/>
          <w:szCs w:val="22"/>
        </w:rPr>
        <w:t xml:space="preserve"> Explorer</w:t>
      </w:r>
      <w:r w:rsidR="00F85DFD" w:rsidRPr="00F85DFD">
        <w:rPr>
          <w:rFonts w:asciiTheme="majorHAnsi" w:hAnsiTheme="majorHAnsi"/>
          <w:szCs w:val="22"/>
        </w:rPr>
        <w:t xml:space="preserve"> (near the right side of the window</w:t>
      </w:r>
      <w:r w:rsidRPr="00F85DFD">
        <w:rPr>
          <w:rFonts w:asciiTheme="majorHAnsi" w:hAnsiTheme="majorHAnsi"/>
          <w:szCs w:val="22"/>
        </w:rPr>
        <w:t>.</w:t>
      </w:r>
      <w:r w:rsidR="00F85DFD" w:rsidRPr="00F85DFD">
        <w:rPr>
          <w:rFonts w:asciiTheme="majorHAnsi" w:hAnsiTheme="majorHAnsi"/>
          <w:szCs w:val="22"/>
        </w:rPr>
        <w:t>)</w:t>
      </w:r>
      <w:r w:rsidRPr="00F85DFD">
        <w:rPr>
          <w:rFonts w:asciiTheme="majorHAnsi" w:hAnsiTheme="majorHAnsi"/>
          <w:szCs w:val="22"/>
        </w:rPr>
        <w:t xml:space="preserve"> Open the 1UGP file in Ligand Explorer. Check the “Metal Interaction” box. You will examine the Co ion in the molecule. Take a screenshot of the metal center and paste it here.</w:t>
      </w:r>
    </w:p>
    <w:p w:rsidR="009A31BE" w:rsidRDefault="009A31BE" w:rsidP="00F85DFD">
      <w:pPr>
        <w:jc w:val="center"/>
        <w:rPr>
          <w:rFonts w:asciiTheme="majorHAnsi" w:hAnsiTheme="majorHAnsi"/>
          <w:noProof/>
          <w:szCs w:val="22"/>
        </w:rPr>
      </w:pPr>
    </w:p>
    <w:p w:rsidR="00D07577" w:rsidRDefault="00D07577" w:rsidP="00F85DFD">
      <w:pPr>
        <w:jc w:val="center"/>
        <w:rPr>
          <w:rFonts w:asciiTheme="majorHAnsi" w:hAnsiTheme="majorHAnsi"/>
          <w:noProof/>
          <w:szCs w:val="22"/>
        </w:rPr>
      </w:pPr>
    </w:p>
    <w:p w:rsidR="00D07577" w:rsidRDefault="00D07577" w:rsidP="00F85DFD">
      <w:pPr>
        <w:jc w:val="center"/>
        <w:rPr>
          <w:rFonts w:asciiTheme="majorHAnsi" w:hAnsiTheme="majorHAnsi"/>
          <w:noProof/>
          <w:szCs w:val="22"/>
        </w:rPr>
      </w:pPr>
    </w:p>
    <w:p w:rsidR="00D07577" w:rsidRDefault="00D07577" w:rsidP="00F85DFD">
      <w:pPr>
        <w:jc w:val="center"/>
        <w:rPr>
          <w:rFonts w:asciiTheme="majorHAnsi" w:hAnsiTheme="majorHAnsi"/>
          <w:szCs w:val="22"/>
        </w:rPr>
      </w:pPr>
    </w:p>
    <w:p w:rsidR="00D07577" w:rsidRDefault="00D07577" w:rsidP="00F85DFD">
      <w:pPr>
        <w:jc w:val="center"/>
        <w:rPr>
          <w:rFonts w:asciiTheme="majorHAnsi" w:hAnsiTheme="majorHAnsi"/>
          <w:szCs w:val="22"/>
        </w:rPr>
      </w:pPr>
    </w:p>
    <w:p w:rsidR="00D07577" w:rsidRDefault="00D07577" w:rsidP="00F85DFD">
      <w:pPr>
        <w:jc w:val="center"/>
        <w:rPr>
          <w:rFonts w:asciiTheme="majorHAnsi" w:hAnsiTheme="majorHAnsi"/>
          <w:szCs w:val="22"/>
        </w:rPr>
      </w:pPr>
    </w:p>
    <w:p w:rsidR="00D07577" w:rsidRPr="00F85DFD" w:rsidRDefault="00D07577" w:rsidP="00F85DFD">
      <w:pPr>
        <w:jc w:val="center"/>
        <w:rPr>
          <w:rFonts w:asciiTheme="majorHAnsi" w:hAnsiTheme="majorHAnsi"/>
          <w:szCs w:val="22"/>
        </w:rPr>
      </w:pPr>
    </w:p>
    <w:p w:rsidR="009A31BE" w:rsidRPr="00F85DFD" w:rsidRDefault="00EB4015">
      <w:pPr>
        <w:numPr>
          <w:ilvl w:val="1"/>
          <w:numId w:val="2"/>
        </w:numPr>
        <w:ind w:left="720" w:hanging="359"/>
        <w:contextualSpacing/>
        <w:rPr>
          <w:rFonts w:asciiTheme="majorHAnsi" w:hAnsiTheme="majorHAnsi"/>
          <w:szCs w:val="22"/>
        </w:rPr>
      </w:pPr>
      <w:r w:rsidRPr="00F85DFD">
        <w:rPr>
          <w:rFonts w:asciiTheme="majorHAnsi" w:hAnsiTheme="majorHAnsi"/>
          <w:szCs w:val="22"/>
        </w:rPr>
        <w:t>Now compare the cobalt metal center to a common cofactor, vitamin B</w:t>
      </w:r>
      <w:r w:rsidRPr="00F85DFD">
        <w:rPr>
          <w:rFonts w:asciiTheme="majorHAnsi" w:hAnsiTheme="majorHAnsi"/>
          <w:szCs w:val="22"/>
          <w:vertAlign w:val="subscript"/>
        </w:rPr>
        <w:t>12</w:t>
      </w:r>
      <w:r w:rsidRPr="00F85DFD">
        <w:rPr>
          <w:rFonts w:asciiTheme="majorHAnsi" w:hAnsiTheme="majorHAnsi"/>
          <w:szCs w:val="22"/>
        </w:rPr>
        <w:t xml:space="preserve">. Access the PDB to visualize the </w:t>
      </w:r>
      <w:proofErr w:type="spellStart"/>
      <w:r w:rsidRPr="00F85DFD">
        <w:rPr>
          <w:rFonts w:asciiTheme="majorHAnsi" w:hAnsiTheme="majorHAnsi"/>
          <w:szCs w:val="22"/>
        </w:rPr>
        <w:t>periplasmic</w:t>
      </w:r>
      <w:proofErr w:type="spellEnd"/>
      <w:r w:rsidRPr="00F85DFD">
        <w:rPr>
          <w:rFonts w:asciiTheme="majorHAnsi" w:hAnsiTheme="majorHAnsi"/>
          <w:szCs w:val="22"/>
        </w:rPr>
        <w:t xml:space="preserve"> bind protein for vitamin B</w:t>
      </w:r>
      <w:r w:rsidRPr="00F85DFD">
        <w:rPr>
          <w:rFonts w:asciiTheme="majorHAnsi" w:hAnsiTheme="majorHAnsi"/>
          <w:szCs w:val="22"/>
          <w:vertAlign w:val="subscript"/>
        </w:rPr>
        <w:t>12</w:t>
      </w:r>
      <w:r w:rsidRPr="00F85DFD">
        <w:rPr>
          <w:rFonts w:asciiTheme="majorHAnsi" w:hAnsiTheme="majorHAnsi"/>
          <w:szCs w:val="22"/>
        </w:rPr>
        <w:t xml:space="preserve">, </w:t>
      </w:r>
      <w:proofErr w:type="spellStart"/>
      <w:r w:rsidRPr="00F85DFD">
        <w:rPr>
          <w:rFonts w:asciiTheme="majorHAnsi" w:hAnsiTheme="majorHAnsi"/>
          <w:szCs w:val="22"/>
        </w:rPr>
        <w:t>BtuF</w:t>
      </w:r>
      <w:proofErr w:type="spellEnd"/>
      <w:r w:rsidRPr="00F85DFD">
        <w:rPr>
          <w:rFonts w:asciiTheme="majorHAnsi" w:hAnsiTheme="majorHAnsi"/>
          <w:szCs w:val="22"/>
        </w:rPr>
        <w:t xml:space="preserve">. The PDB ID is 1N4A. Take a screenshot of the metal center and paste it here. How does the coordination site of cobalt differ from cobalt nitrile </w:t>
      </w:r>
      <w:proofErr w:type="spellStart"/>
      <w:r w:rsidRPr="00F85DFD">
        <w:rPr>
          <w:rFonts w:asciiTheme="majorHAnsi" w:hAnsiTheme="majorHAnsi"/>
          <w:szCs w:val="22"/>
        </w:rPr>
        <w:t>hydratase</w:t>
      </w:r>
      <w:proofErr w:type="spellEnd"/>
      <w:r w:rsidRPr="00F85DFD">
        <w:rPr>
          <w:rFonts w:asciiTheme="majorHAnsi" w:hAnsiTheme="majorHAnsi"/>
          <w:szCs w:val="22"/>
        </w:rPr>
        <w:t>?</w:t>
      </w:r>
    </w:p>
    <w:p w:rsidR="009A31BE" w:rsidRDefault="009A31BE">
      <w:pPr>
        <w:rPr>
          <w:rFonts w:asciiTheme="majorHAnsi" w:hAnsiTheme="majorHAnsi"/>
          <w:szCs w:val="22"/>
        </w:rPr>
      </w:pPr>
    </w:p>
    <w:p w:rsidR="00D07577" w:rsidRPr="00F85DFD" w:rsidRDefault="00D07577">
      <w:pPr>
        <w:rPr>
          <w:rFonts w:asciiTheme="majorHAnsi" w:hAnsiTheme="majorHAnsi"/>
          <w:szCs w:val="22"/>
        </w:rPr>
      </w:pPr>
    </w:p>
    <w:p w:rsidR="009A31BE" w:rsidRPr="00F85DFD" w:rsidRDefault="00EB4015">
      <w:pPr>
        <w:numPr>
          <w:ilvl w:val="0"/>
          <w:numId w:val="2"/>
        </w:numPr>
        <w:ind w:left="360" w:hanging="359"/>
        <w:contextualSpacing/>
        <w:rPr>
          <w:rFonts w:asciiTheme="majorHAnsi" w:hAnsiTheme="majorHAnsi"/>
          <w:szCs w:val="22"/>
        </w:rPr>
      </w:pPr>
      <w:r w:rsidRPr="00F85DFD">
        <w:rPr>
          <w:rFonts w:asciiTheme="majorHAnsi" w:hAnsiTheme="majorHAnsi"/>
          <w:szCs w:val="22"/>
        </w:rPr>
        <w:t xml:space="preserve">Define post-translational modification and give an example of such a modification in nitrile </w:t>
      </w:r>
      <w:proofErr w:type="spellStart"/>
      <w:r w:rsidRPr="00F85DFD">
        <w:rPr>
          <w:rFonts w:asciiTheme="majorHAnsi" w:hAnsiTheme="majorHAnsi"/>
          <w:szCs w:val="22"/>
        </w:rPr>
        <w:t>hydratase</w:t>
      </w:r>
      <w:proofErr w:type="spellEnd"/>
      <w:r w:rsidRPr="00F85DFD">
        <w:rPr>
          <w:rFonts w:asciiTheme="majorHAnsi" w:hAnsiTheme="majorHAnsi"/>
          <w:szCs w:val="22"/>
        </w:rPr>
        <w:t xml:space="preserve">.  </w:t>
      </w:r>
    </w:p>
    <w:p w:rsidR="009A31BE" w:rsidRDefault="009A31BE">
      <w:pPr>
        <w:rPr>
          <w:rFonts w:asciiTheme="majorHAnsi" w:hAnsiTheme="majorHAnsi"/>
          <w:szCs w:val="22"/>
        </w:rPr>
      </w:pPr>
    </w:p>
    <w:p w:rsidR="00D07577" w:rsidRDefault="00D07577">
      <w:pPr>
        <w:rPr>
          <w:rFonts w:asciiTheme="majorHAnsi" w:hAnsiTheme="majorHAnsi"/>
          <w:szCs w:val="22"/>
        </w:rPr>
      </w:pPr>
    </w:p>
    <w:p w:rsidR="00D07577" w:rsidRPr="00F85DFD" w:rsidRDefault="00D07577">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EB4015">
      <w:pPr>
        <w:numPr>
          <w:ilvl w:val="0"/>
          <w:numId w:val="2"/>
        </w:numPr>
        <w:ind w:left="360" w:hanging="359"/>
        <w:contextualSpacing/>
        <w:rPr>
          <w:rFonts w:asciiTheme="majorHAnsi" w:hAnsiTheme="majorHAnsi"/>
          <w:szCs w:val="22"/>
        </w:rPr>
      </w:pPr>
      <w:r w:rsidRPr="00F85DFD">
        <w:rPr>
          <w:rFonts w:asciiTheme="majorHAnsi" w:hAnsiTheme="majorHAnsi"/>
          <w:szCs w:val="22"/>
        </w:rPr>
        <w:lastRenderedPageBreak/>
        <w:t xml:space="preserve">The “ligand” in this paper is a polypeptide called SODA with the sequence ACDLPCG (drawn below).  Circle the atoms that are suggested to bind to </w:t>
      </w:r>
      <w:proofErr w:type="gramStart"/>
      <w:r w:rsidRPr="00F85DFD">
        <w:rPr>
          <w:rFonts w:asciiTheme="majorHAnsi" w:hAnsiTheme="majorHAnsi"/>
          <w:szCs w:val="22"/>
        </w:rPr>
        <w:t>Co(</w:t>
      </w:r>
      <w:proofErr w:type="gramEnd"/>
      <w:r w:rsidRPr="00F85DFD">
        <w:rPr>
          <w:rFonts w:asciiTheme="majorHAnsi" w:hAnsiTheme="majorHAnsi"/>
          <w:szCs w:val="22"/>
        </w:rPr>
        <w:t>II).  Put square boxes around other possible atoms that could bind to the metal center.</w:t>
      </w:r>
    </w:p>
    <w:p w:rsidR="009A31BE" w:rsidRPr="00F85DFD" w:rsidRDefault="00D07577">
      <w:pPr>
        <w:jc w:val="center"/>
        <w:rPr>
          <w:rFonts w:asciiTheme="majorHAnsi" w:hAnsiTheme="majorHAnsi"/>
          <w:szCs w:val="22"/>
        </w:rPr>
      </w:pPr>
      <w:r w:rsidRPr="00325A21">
        <w:rPr>
          <w:rFonts w:asciiTheme="majorHAnsi" w:hAnsiTheme="majorHAnsi"/>
          <w:noProof/>
          <w:szCs w:val="22"/>
        </w:rPr>
        <w:drawing>
          <wp:inline distT="114300" distB="114300" distL="114300" distR="114300" wp14:anchorId="0E878B12" wp14:editId="00EEE1CC">
            <wp:extent cx="4326255" cy="1840960"/>
            <wp:effectExtent l="0" t="0" r="0" b="0"/>
            <wp:docPr id="2" name="image01.png" descr="SODA.png"/>
            <wp:cNvGraphicFramePr/>
            <a:graphic xmlns:a="http://schemas.openxmlformats.org/drawingml/2006/main">
              <a:graphicData uri="http://schemas.openxmlformats.org/drawingml/2006/picture">
                <pic:pic xmlns:pic="http://schemas.openxmlformats.org/drawingml/2006/picture">
                  <pic:nvPicPr>
                    <pic:cNvPr id="0" name="image01.png" descr="SODA.png"/>
                    <pic:cNvPicPr preferRelativeResize="0"/>
                  </pic:nvPicPr>
                  <pic:blipFill>
                    <a:blip r:embed="rId10"/>
                    <a:srcRect/>
                    <a:stretch>
                      <a:fillRect/>
                    </a:stretch>
                  </pic:blipFill>
                  <pic:spPr>
                    <a:xfrm>
                      <a:off x="0" y="0"/>
                      <a:ext cx="4326255" cy="1840960"/>
                    </a:xfrm>
                    <a:prstGeom prst="rect">
                      <a:avLst/>
                    </a:prstGeom>
                    <a:ln/>
                  </pic:spPr>
                </pic:pic>
              </a:graphicData>
            </a:graphic>
          </wp:inline>
        </w:drawing>
      </w:r>
    </w:p>
    <w:p w:rsidR="009A31BE" w:rsidRPr="00F85DFD" w:rsidRDefault="009A31BE">
      <w:pPr>
        <w:jc w:val="center"/>
        <w:rPr>
          <w:rFonts w:asciiTheme="majorHAnsi" w:hAnsiTheme="majorHAnsi"/>
          <w:szCs w:val="22"/>
        </w:rPr>
      </w:pPr>
    </w:p>
    <w:p w:rsidR="009A31BE" w:rsidRPr="00F85DFD" w:rsidRDefault="00EB4015">
      <w:pPr>
        <w:numPr>
          <w:ilvl w:val="0"/>
          <w:numId w:val="2"/>
        </w:numPr>
        <w:ind w:left="360" w:hanging="359"/>
        <w:contextualSpacing/>
        <w:rPr>
          <w:rFonts w:asciiTheme="majorHAnsi" w:hAnsiTheme="majorHAnsi"/>
          <w:szCs w:val="22"/>
        </w:rPr>
      </w:pPr>
      <w:r w:rsidRPr="00F85DFD">
        <w:rPr>
          <w:rFonts w:asciiTheme="majorHAnsi" w:hAnsiTheme="majorHAnsi"/>
          <w:szCs w:val="22"/>
        </w:rPr>
        <w:t>Examine the three structures in Scheme 1 of the paper and complete the following chart.</w:t>
      </w:r>
    </w:p>
    <w:p w:rsidR="009A31BE" w:rsidRPr="00F85DFD" w:rsidRDefault="009A31BE">
      <w:pPr>
        <w:rPr>
          <w:rFonts w:asciiTheme="majorHAnsi" w:hAnsiTheme="majorHAnsi"/>
          <w:szCs w:val="22"/>
        </w:rPr>
      </w:pPr>
    </w:p>
    <w:tbl>
      <w:tblPr>
        <w:tblStyle w:val="a"/>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095"/>
        <w:gridCol w:w="1245"/>
        <w:gridCol w:w="5865"/>
      </w:tblGrid>
      <w:tr w:rsidR="009A31BE" w:rsidRPr="00F85DFD">
        <w:trPr>
          <w:trHeight w:val="1160"/>
        </w:trPr>
        <w:tc>
          <w:tcPr>
            <w:tcW w:w="1230" w:type="dxa"/>
            <w:tcMar>
              <w:top w:w="100" w:type="dxa"/>
              <w:left w:w="100" w:type="dxa"/>
              <w:bottom w:w="100" w:type="dxa"/>
              <w:right w:w="100" w:type="dxa"/>
            </w:tcMar>
          </w:tcPr>
          <w:p w:rsidR="009A31BE" w:rsidRPr="00F85DFD" w:rsidRDefault="009A31BE">
            <w:pPr>
              <w:spacing w:line="240" w:lineRule="auto"/>
              <w:rPr>
                <w:rFonts w:asciiTheme="majorHAnsi" w:hAnsiTheme="majorHAnsi"/>
                <w:szCs w:val="22"/>
              </w:rPr>
            </w:pPr>
          </w:p>
        </w:tc>
        <w:tc>
          <w:tcPr>
            <w:tcW w:w="1095" w:type="dxa"/>
            <w:tcMar>
              <w:top w:w="100" w:type="dxa"/>
              <w:left w:w="100" w:type="dxa"/>
              <w:bottom w:w="100" w:type="dxa"/>
              <w:right w:w="100" w:type="dxa"/>
            </w:tcMar>
          </w:tcPr>
          <w:p w:rsidR="009A31BE" w:rsidRPr="00F85DFD" w:rsidRDefault="00EB4015">
            <w:pPr>
              <w:spacing w:line="240" w:lineRule="auto"/>
              <w:jc w:val="center"/>
              <w:rPr>
                <w:rFonts w:asciiTheme="majorHAnsi" w:hAnsiTheme="majorHAnsi"/>
                <w:szCs w:val="22"/>
              </w:rPr>
            </w:pPr>
            <w:r w:rsidRPr="00F85DFD">
              <w:rPr>
                <w:rFonts w:asciiTheme="majorHAnsi" w:hAnsiTheme="majorHAnsi"/>
                <w:szCs w:val="22"/>
              </w:rPr>
              <w:t xml:space="preserve">Ligand charge </w:t>
            </w:r>
          </w:p>
          <w:p w:rsidR="009A31BE" w:rsidRPr="00F85DFD" w:rsidRDefault="009A31BE">
            <w:pPr>
              <w:spacing w:line="240" w:lineRule="auto"/>
              <w:jc w:val="center"/>
              <w:rPr>
                <w:rFonts w:asciiTheme="majorHAnsi" w:hAnsiTheme="majorHAnsi"/>
                <w:szCs w:val="22"/>
              </w:rPr>
            </w:pPr>
          </w:p>
        </w:tc>
        <w:tc>
          <w:tcPr>
            <w:tcW w:w="1245" w:type="dxa"/>
            <w:tcMar>
              <w:top w:w="100" w:type="dxa"/>
              <w:left w:w="100" w:type="dxa"/>
              <w:bottom w:w="100" w:type="dxa"/>
              <w:right w:w="100" w:type="dxa"/>
            </w:tcMar>
          </w:tcPr>
          <w:p w:rsidR="009A31BE" w:rsidRPr="00F85DFD" w:rsidRDefault="00EB4015">
            <w:pPr>
              <w:spacing w:line="240" w:lineRule="auto"/>
              <w:jc w:val="center"/>
              <w:rPr>
                <w:rFonts w:asciiTheme="majorHAnsi" w:hAnsiTheme="majorHAnsi"/>
                <w:szCs w:val="22"/>
              </w:rPr>
            </w:pPr>
            <w:r w:rsidRPr="00F85DFD">
              <w:rPr>
                <w:rFonts w:asciiTheme="majorHAnsi" w:hAnsiTheme="majorHAnsi"/>
                <w:szCs w:val="22"/>
              </w:rPr>
              <w:t>Metal d-electron count</w:t>
            </w:r>
          </w:p>
        </w:tc>
        <w:tc>
          <w:tcPr>
            <w:tcW w:w="5865" w:type="dxa"/>
            <w:tcMar>
              <w:top w:w="100" w:type="dxa"/>
              <w:left w:w="100" w:type="dxa"/>
              <w:bottom w:w="100" w:type="dxa"/>
              <w:right w:w="100" w:type="dxa"/>
            </w:tcMar>
          </w:tcPr>
          <w:p w:rsidR="009A31BE" w:rsidRPr="00F85DFD" w:rsidRDefault="00EB4015">
            <w:pPr>
              <w:spacing w:line="240" w:lineRule="auto"/>
              <w:jc w:val="center"/>
              <w:rPr>
                <w:rFonts w:asciiTheme="majorHAnsi" w:hAnsiTheme="majorHAnsi"/>
                <w:szCs w:val="22"/>
              </w:rPr>
            </w:pPr>
            <w:r w:rsidRPr="00F85DFD">
              <w:rPr>
                <w:rFonts w:asciiTheme="majorHAnsi" w:hAnsiTheme="majorHAnsi"/>
                <w:szCs w:val="22"/>
              </w:rPr>
              <w:t>Draw the crystal field diagram and fill in electrons.</w:t>
            </w:r>
          </w:p>
        </w:tc>
      </w:tr>
      <w:tr w:rsidR="009A31BE" w:rsidRPr="00F85DFD">
        <w:trPr>
          <w:trHeight w:val="1000"/>
        </w:trPr>
        <w:tc>
          <w:tcPr>
            <w:tcW w:w="1230" w:type="dxa"/>
            <w:tcMar>
              <w:top w:w="100" w:type="dxa"/>
              <w:left w:w="100" w:type="dxa"/>
              <w:bottom w:w="100" w:type="dxa"/>
              <w:right w:w="100" w:type="dxa"/>
            </w:tcMar>
          </w:tcPr>
          <w:p w:rsidR="009A31BE" w:rsidRPr="00F85DFD" w:rsidRDefault="00EB4015">
            <w:pPr>
              <w:spacing w:line="240" w:lineRule="auto"/>
              <w:rPr>
                <w:rFonts w:asciiTheme="majorHAnsi" w:hAnsiTheme="majorHAnsi"/>
                <w:szCs w:val="22"/>
              </w:rPr>
            </w:pPr>
            <w:r w:rsidRPr="00F85DFD">
              <w:rPr>
                <w:rFonts w:asciiTheme="majorHAnsi" w:hAnsiTheme="majorHAnsi"/>
                <w:szCs w:val="22"/>
              </w:rPr>
              <w:t>Reduced</w:t>
            </w:r>
          </w:p>
        </w:tc>
        <w:tc>
          <w:tcPr>
            <w:tcW w:w="1095"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c>
          <w:tcPr>
            <w:tcW w:w="1245"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c>
          <w:tcPr>
            <w:tcW w:w="5865" w:type="dxa"/>
            <w:tcMar>
              <w:top w:w="100" w:type="dxa"/>
              <w:left w:w="100" w:type="dxa"/>
              <w:bottom w:w="100" w:type="dxa"/>
              <w:right w:w="100" w:type="dxa"/>
            </w:tcMar>
          </w:tcPr>
          <w:p w:rsidR="009A31BE" w:rsidRDefault="00EB4015">
            <w:pPr>
              <w:spacing w:line="240" w:lineRule="auto"/>
              <w:rPr>
                <w:rFonts w:asciiTheme="majorHAnsi" w:hAnsiTheme="majorHAnsi"/>
                <w:szCs w:val="22"/>
              </w:rPr>
            </w:pPr>
            <w:r w:rsidRPr="00F85DFD">
              <w:rPr>
                <w:rFonts w:asciiTheme="majorHAnsi" w:hAnsiTheme="majorHAnsi"/>
                <w:szCs w:val="22"/>
              </w:rPr>
              <w:t xml:space="preserve">                            </w:t>
            </w:r>
          </w:p>
          <w:p w:rsidR="00D07577" w:rsidRPr="00F85DFD" w:rsidRDefault="00D07577">
            <w:pPr>
              <w:spacing w:line="240" w:lineRule="auto"/>
              <w:rPr>
                <w:rFonts w:asciiTheme="majorHAnsi" w:hAnsiTheme="majorHAnsi"/>
                <w:szCs w:val="22"/>
              </w:rPr>
            </w:pPr>
          </w:p>
        </w:tc>
      </w:tr>
      <w:tr w:rsidR="009A31BE" w:rsidRPr="00F85DFD">
        <w:tc>
          <w:tcPr>
            <w:tcW w:w="1230" w:type="dxa"/>
            <w:tcMar>
              <w:top w:w="100" w:type="dxa"/>
              <w:left w:w="100" w:type="dxa"/>
              <w:bottom w:w="100" w:type="dxa"/>
              <w:right w:w="100" w:type="dxa"/>
            </w:tcMar>
          </w:tcPr>
          <w:p w:rsidR="009A31BE" w:rsidRPr="00F85DFD" w:rsidRDefault="00EB4015">
            <w:pPr>
              <w:spacing w:line="240" w:lineRule="auto"/>
              <w:rPr>
                <w:rFonts w:asciiTheme="majorHAnsi" w:hAnsiTheme="majorHAnsi"/>
                <w:szCs w:val="22"/>
              </w:rPr>
            </w:pPr>
            <w:r w:rsidRPr="00F85DFD">
              <w:rPr>
                <w:rFonts w:asciiTheme="majorHAnsi" w:hAnsiTheme="majorHAnsi"/>
                <w:szCs w:val="22"/>
              </w:rPr>
              <w:t>Partially oxidized</w:t>
            </w:r>
          </w:p>
        </w:tc>
        <w:tc>
          <w:tcPr>
            <w:tcW w:w="1095"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c>
          <w:tcPr>
            <w:tcW w:w="1245"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c>
          <w:tcPr>
            <w:tcW w:w="5865" w:type="dxa"/>
            <w:tcMar>
              <w:top w:w="100" w:type="dxa"/>
              <w:left w:w="100" w:type="dxa"/>
              <w:bottom w:w="100" w:type="dxa"/>
              <w:right w:w="100" w:type="dxa"/>
            </w:tcMar>
          </w:tcPr>
          <w:p w:rsidR="009A31BE" w:rsidRDefault="009A31BE">
            <w:pPr>
              <w:spacing w:line="240" w:lineRule="auto"/>
              <w:rPr>
                <w:rFonts w:asciiTheme="majorHAnsi" w:hAnsiTheme="majorHAnsi"/>
                <w:szCs w:val="22"/>
              </w:rPr>
            </w:pPr>
          </w:p>
          <w:p w:rsidR="00D07577" w:rsidRDefault="00D07577">
            <w:pPr>
              <w:spacing w:line="240" w:lineRule="auto"/>
              <w:rPr>
                <w:rFonts w:asciiTheme="majorHAnsi" w:hAnsiTheme="majorHAnsi"/>
                <w:szCs w:val="22"/>
              </w:rPr>
            </w:pPr>
          </w:p>
          <w:p w:rsidR="00D07577" w:rsidRDefault="00D07577">
            <w:pPr>
              <w:spacing w:line="240" w:lineRule="auto"/>
              <w:rPr>
                <w:rFonts w:asciiTheme="majorHAnsi" w:hAnsiTheme="majorHAnsi"/>
                <w:szCs w:val="22"/>
              </w:rPr>
            </w:pPr>
          </w:p>
          <w:p w:rsidR="00D07577" w:rsidRDefault="00D07577">
            <w:pPr>
              <w:spacing w:line="240" w:lineRule="auto"/>
              <w:rPr>
                <w:rFonts w:asciiTheme="majorHAnsi" w:hAnsiTheme="majorHAnsi"/>
                <w:szCs w:val="22"/>
              </w:rPr>
            </w:pPr>
          </w:p>
          <w:p w:rsidR="00D07577" w:rsidRPr="00F85DFD" w:rsidRDefault="00D07577">
            <w:pPr>
              <w:spacing w:line="240" w:lineRule="auto"/>
              <w:rPr>
                <w:rFonts w:asciiTheme="majorHAnsi" w:hAnsiTheme="majorHAnsi"/>
                <w:szCs w:val="22"/>
              </w:rPr>
            </w:pPr>
          </w:p>
        </w:tc>
      </w:tr>
      <w:tr w:rsidR="009A31BE" w:rsidRPr="00F85DFD">
        <w:tc>
          <w:tcPr>
            <w:tcW w:w="1230" w:type="dxa"/>
            <w:tcMar>
              <w:top w:w="100" w:type="dxa"/>
              <w:left w:w="100" w:type="dxa"/>
              <w:bottom w:w="100" w:type="dxa"/>
              <w:right w:w="100" w:type="dxa"/>
            </w:tcMar>
          </w:tcPr>
          <w:p w:rsidR="009A31BE" w:rsidRPr="00F85DFD" w:rsidRDefault="00EB4015">
            <w:pPr>
              <w:spacing w:line="240" w:lineRule="auto"/>
              <w:rPr>
                <w:rFonts w:asciiTheme="majorHAnsi" w:hAnsiTheme="majorHAnsi"/>
                <w:szCs w:val="22"/>
              </w:rPr>
            </w:pPr>
            <w:r w:rsidRPr="00F85DFD">
              <w:rPr>
                <w:rFonts w:asciiTheme="majorHAnsi" w:hAnsiTheme="majorHAnsi"/>
                <w:szCs w:val="22"/>
              </w:rPr>
              <w:t>Fully oxidized</w:t>
            </w:r>
          </w:p>
        </w:tc>
        <w:tc>
          <w:tcPr>
            <w:tcW w:w="1095"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c>
          <w:tcPr>
            <w:tcW w:w="1245"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c>
          <w:tcPr>
            <w:tcW w:w="5865" w:type="dxa"/>
            <w:tcMar>
              <w:top w:w="100" w:type="dxa"/>
              <w:left w:w="100" w:type="dxa"/>
              <w:bottom w:w="100" w:type="dxa"/>
              <w:right w:w="100" w:type="dxa"/>
            </w:tcMar>
          </w:tcPr>
          <w:p w:rsidR="009A31BE" w:rsidRDefault="009A31BE">
            <w:pPr>
              <w:spacing w:line="240" w:lineRule="auto"/>
              <w:rPr>
                <w:rFonts w:asciiTheme="majorHAnsi" w:hAnsiTheme="majorHAnsi"/>
                <w:szCs w:val="22"/>
              </w:rPr>
            </w:pPr>
          </w:p>
          <w:p w:rsidR="00D07577" w:rsidRDefault="00D07577">
            <w:pPr>
              <w:spacing w:line="240" w:lineRule="auto"/>
              <w:rPr>
                <w:rFonts w:asciiTheme="majorHAnsi" w:hAnsiTheme="majorHAnsi"/>
                <w:szCs w:val="22"/>
              </w:rPr>
            </w:pPr>
          </w:p>
          <w:p w:rsidR="00D07577" w:rsidRDefault="00D07577">
            <w:pPr>
              <w:spacing w:line="240" w:lineRule="auto"/>
              <w:rPr>
                <w:rFonts w:asciiTheme="majorHAnsi" w:hAnsiTheme="majorHAnsi"/>
                <w:szCs w:val="22"/>
              </w:rPr>
            </w:pPr>
          </w:p>
          <w:p w:rsidR="00D07577" w:rsidRDefault="00D07577">
            <w:pPr>
              <w:spacing w:line="240" w:lineRule="auto"/>
              <w:rPr>
                <w:rFonts w:asciiTheme="majorHAnsi" w:hAnsiTheme="majorHAnsi"/>
                <w:szCs w:val="22"/>
              </w:rPr>
            </w:pPr>
          </w:p>
          <w:p w:rsidR="00D07577" w:rsidRDefault="00D07577">
            <w:pPr>
              <w:spacing w:line="240" w:lineRule="auto"/>
              <w:rPr>
                <w:rFonts w:asciiTheme="majorHAnsi" w:hAnsiTheme="majorHAnsi"/>
                <w:szCs w:val="22"/>
              </w:rPr>
            </w:pPr>
          </w:p>
          <w:p w:rsidR="00D07577" w:rsidRPr="00F85DFD" w:rsidRDefault="00D07577">
            <w:pPr>
              <w:spacing w:line="240" w:lineRule="auto"/>
              <w:rPr>
                <w:rFonts w:asciiTheme="majorHAnsi" w:hAnsiTheme="majorHAnsi"/>
                <w:szCs w:val="22"/>
              </w:rPr>
            </w:pPr>
          </w:p>
        </w:tc>
      </w:tr>
    </w:tbl>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D07577" w:rsidRDefault="00D07577">
      <w:pPr>
        <w:rPr>
          <w:rFonts w:asciiTheme="majorHAnsi" w:hAnsiTheme="majorHAnsi"/>
          <w:szCs w:val="22"/>
        </w:rPr>
      </w:pPr>
      <w:r>
        <w:rPr>
          <w:rFonts w:asciiTheme="majorHAnsi" w:hAnsiTheme="majorHAnsi"/>
          <w:szCs w:val="22"/>
        </w:rPr>
        <w:br w:type="page"/>
      </w:r>
    </w:p>
    <w:p w:rsidR="009A31BE" w:rsidRPr="00F85DFD" w:rsidRDefault="00EB4015">
      <w:pPr>
        <w:numPr>
          <w:ilvl w:val="0"/>
          <w:numId w:val="5"/>
        </w:numPr>
        <w:ind w:left="360" w:hanging="359"/>
        <w:contextualSpacing/>
        <w:rPr>
          <w:rFonts w:asciiTheme="majorHAnsi" w:hAnsiTheme="majorHAnsi"/>
          <w:szCs w:val="22"/>
        </w:rPr>
      </w:pPr>
      <w:r w:rsidRPr="00F85DFD">
        <w:rPr>
          <w:rFonts w:asciiTheme="majorHAnsi" w:hAnsiTheme="majorHAnsi"/>
          <w:szCs w:val="22"/>
        </w:rPr>
        <w:lastRenderedPageBreak/>
        <w:t xml:space="preserve">Which techniques were used to confirm the </w:t>
      </w:r>
      <w:r w:rsidRPr="00F85DFD">
        <w:rPr>
          <w:rFonts w:asciiTheme="majorHAnsi" w:hAnsiTheme="majorHAnsi"/>
          <w:b/>
          <w:szCs w:val="22"/>
        </w:rPr>
        <w:t>coordination geometry</w:t>
      </w:r>
      <w:r w:rsidRPr="00F85DFD">
        <w:rPr>
          <w:rFonts w:asciiTheme="majorHAnsi" w:hAnsiTheme="majorHAnsi"/>
          <w:szCs w:val="22"/>
        </w:rPr>
        <w:t xml:space="preserve"> of reduced </w:t>
      </w:r>
      <w:proofErr w:type="spellStart"/>
      <w:r w:rsidRPr="00F85DFD">
        <w:rPr>
          <w:rFonts w:asciiTheme="majorHAnsi" w:hAnsiTheme="majorHAnsi"/>
          <w:szCs w:val="22"/>
        </w:rPr>
        <w:t>metallopeptide</w:t>
      </w:r>
      <w:proofErr w:type="spellEnd"/>
      <w:r w:rsidRPr="00F85DFD">
        <w:rPr>
          <w:rFonts w:asciiTheme="majorHAnsi" w:hAnsiTheme="majorHAnsi"/>
          <w:szCs w:val="22"/>
        </w:rPr>
        <w:t xml:space="preserve">, partially oxidized </w:t>
      </w:r>
      <w:proofErr w:type="spellStart"/>
      <w:r w:rsidRPr="00F85DFD">
        <w:rPr>
          <w:rFonts w:asciiTheme="majorHAnsi" w:hAnsiTheme="majorHAnsi"/>
          <w:szCs w:val="22"/>
        </w:rPr>
        <w:t>metallopeptide</w:t>
      </w:r>
      <w:proofErr w:type="spellEnd"/>
      <w:r w:rsidRPr="00F85DFD">
        <w:rPr>
          <w:rFonts w:asciiTheme="majorHAnsi" w:hAnsiTheme="majorHAnsi"/>
          <w:szCs w:val="22"/>
        </w:rPr>
        <w:t xml:space="preserve">, and fully oxidized </w:t>
      </w:r>
      <w:proofErr w:type="spellStart"/>
      <w:r w:rsidRPr="00F85DFD">
        <w:rPr>
          <w:rFonts w:asciiTheme="majorHAnsi" w:hAnsiTheme="majorHAnsi"/>
          <w:szCs w:val="22"/>
        </w:rPr>
        <w:t>metallopeptide</w:t>
      </w:r>
      <w:proofErr w:type="spellEnd"/>
      <w:r w:rsidRPr="00F85DFD">
        <w:rPr>
          <w:rFonts w:asciiTheme="majorHAnsi" w:hAnsiTheme="majorHAnsi"/>
          <w:szCs w:val="22"/>
        </w:rPr>
        <w:t>?</w:t>
      </w:r>
    </w:p>
    <w:p w:rsidR="009A31BE" w:rsidRDefault="009A31BE">
      <w:pPr>
        <w:rPr>
          <w:rFonts w:asciiTheme="majorHAnsi" w:hAnsiTheme="majorHAnsi"/>
          <w:szCs w:val="22"/>
        </w:rPr>
      </w:pPr>
    </w:p>
    <w:p w:rsidR="00D07577" w:rsidRDefault="00D07577">
      <w:pPr>
        <w:rPr>
          <w:rFonts w:asciiTheme="majorHAnsi" w:hAnsiTheme="majorHAnsi"/>
          <w:szCs w:val="22"/>
        </w:rPr>
      </w:pPr>
    </w:p>
    <w:p w:rsidR="00D07577" w:rsidRDefault="00D07577">
      <w:pPr>
        <w:rPr>
          <w:rFonts w:asciiTheme="majorHAnsi" w:hAnsiTheme="majorHAnsi"/>
          <w:szCs w:val="22"/>
        </w:rPr>
      </w:pPr>
    </w:p>
    <w:p w:rsidR="00D07577" w:rsidRDefault="00D07577">
      <w:pPr>
        <w:rPr>
          <w:rFonts w:asciiTheme="majorHAnsi" w:hAnsiTheme="majorHAnsi"/>
          <w:szCs w:val="22"/>
        </w:rPr>
      </w:pPr>
    </w:p>
    <w:p w:rsidR="00D07577" w:rsidRDefault="00D07577">
      <w:pPr>
        <w:rPr>
          <w:rFonts w:asciiTheme="majorHAnsi" w:hAnsiTheme="majorHAnsi"/>
          <w:szCs w:val="22"/>
        </w:rPr>
      </w:pPr>
    </w:p>
    <w:p w:rsidR="00D07577" w:rsidRPr="00F85DFD" w:rsidRDefault="00D07577">
      <w:pPr>
        <w:rPr>
          <w:rFonts w:asciiTheme="majorHAnsi" w:hAnsiTheme="majorHAnsi"/>
          <w:szCs w:val="22"/>
        </w:rPr>
      </w:pPr>
    </w:p>
    <w:p w:rsidR="009A31BE" w:rsidRPr="00F85DFD" w:rsidRDefault="00EB4015">
      <w:pPr>
        <w:numPr>
          <w:ilvl w:val="0"/>
          <w:numId w:val="5"/>
        </w:numPr>
        <w:ind w:left="360" w:hanging="359"/>
        <w:contextualSpacing/>
        <w:rPr>
          <w:rFonts w:asciiTheme="majorHAnsi" w:hAnsiTheme="majorHAnsi"/>
          <w:szCs w:val="22"/>
        </w:rPr>
      </w:pPr>
      <w:r w:rsidRPr="00F85DFD">
        <w:rPr>
          <w:rFonts w:asciiTheme="majorHAnsi" w:hAnsiTheme="majorHAnsi"/>
          <w:szCs w:val="22"/>
        </w:rPr>
        <w:t xml:space="preserve">Which techniques were used to confirm the </w:t>
      </w:r>
      <w:r w:rsidRPr="00F85DFD">
        <w:rPr>
          <w:rFonts w:asciiTheme="majorHAnsi" w:hAnsiTheme="majorHAnsi"/>
          <w:b/>
          <w:szCs w:val="22"/>
        </w:rPr>
        <w:t>oxidation state</w:t>
      </w:r>
      <w:r w:rsidRPr="00F85DFD">
        <w:rPr>
          <w:rFonts w:asciiTheme="majorHAnsi" w:hAnsiTheme="majorHAnsi"/>
          <w:szCs w:val="22"/>
        </w:rPr>
        <w:t xml:space="preserve"> of cobalt in the reduced </w:t>
      </w:r>
      <w:proofErr w:type="spellStart"/>
      <w:r w:rsidRPr="00F85DFD">
        <w:rPr>
          <w:rFonts w:asciiTheme="majorHAnsi" w:hAnsiTheme="majorHAnsi"/>
          <w:szCs w:val="22"/>
        </w:rPr>
        <w:t>metallopeptide</w:t>
      </w:r>
      <w:proofErr w:type="spellEnd"/>
      <w:r w:rsidRPr="00F85DFD">
        <w:rPr>
          <w:rFonts w:asciiTheme="majorHAnsi" w:hAnsiTheme="majorHAnsi"/>
          <w:szCs w:val="22"/>
        </w:rPr>
        <w:t xml:space="preserve">, partially oxidized </w:t>
      </w:r>
      <w:proofErr w:type="spellStart"/>
      <w:r w:rsidRPr="00F85DFD">
        <w:rPr>
          <w:rFonts w:asciiTheme="majorHAnsi" w:hAnsiTheme="majorHAnsi"/>
          <w:szCs w:val="22"/>
        </w:rPr>
        <w:t>metallopeptide</w:t>
      </w:r>
      <w:proofErr w:type="spellEnd"/>
      <w:r w:rsidRPr="00F85DFD">
        <w:rPr>
          <w:rFonts w:asciiTheme="majorHAnsi" w:hAnsiTheme="majorHAnsi"/>
          <w:szCs w:val="22"/>
        </w:rPr>
        <w:t xml:space="preserve">, and fully oxidized </w:t>
      </w:r>
      <w:proofErr w:type="spellStart"/>
      <w:r w:rsidRPr="00F85DFD">
        <w:rPr>
          <w:rFonts w:asciiTheme="majorHAnsi" w:hAnsiTheme="majorHAnsi"/>
          <w:szCs w:val="22"/>
        </w:rPr>
        <w:t>metallopeptide</w:t>
      </w:r>
      <w:proofErr w:type="spellEnd"/>
      <w:r w:rsidRPr="00F85DFD">
        <w:rPr>
          <w:rFonts w:asciiTheme="majorHAnsi" w:hAnsiTheme="majorHAnsi"/>
          <w:szCs w:val="22"/>
        </w:rPr>
        <w:t>?</w:t>
      </w:r>
    </w:p>
    <w:p w:rsidR="009A31BE" w:rsidRPr="00F85DFD" w:rsidRDefault="009A31BE">
      <w:pPr>
        <w:rPr>
          <w:rFonts w:asciiTheme="majorHAnsi" w:hAnsiTheme="majorHAnsi"/>
          <w:szCs w:val="22"/>
        </w:rPr>
      </w:pPr>
    </w:p>
    <w:p w:rsidR="009A31BE" w:rsidRDefault="009A31BE">
      <w:pPr>
        <w:rPr>
          <w:rFonts w:asciiTheme="majorHAnsi" w:hAnsiTheme="majorHAnsi"/>
          <w:szCs w:val="22"/>
        </w:rPr>
      </w:pPr>
    </w:p>
    <w:p w:rsidR="00D07577" w:rsidRDefault="00D07577">
      <w:pPr>
        <w:rPr>
          <w:rFonts w:asciiTheme="majorHAnsi" w:hAnsiTheme="majorHAnsi"/>
          <w:szCs w:val="22"/>
        </w:rPr>
      </w:pPr>
    </w:p>
    <w:p w:rsidR="00D07577" w:rsidRPr="00F85DFD" w:rsidRDefault="00D07577">
      <w:pPr>
        <w:rPr>
          <w:rFonts w:asciiTheme="majorHAnsi" w:hAnsiTheme="majorHAnsi"/>
          <w:szCs w:val="22"/>
        </w:rPr>
      </w:pPr>
    </w:p>
    <w:p w:rsidR="009A31BE" w:rsidRDefault="009A31BE">
      <w:pPr>
        <w:rPr>
          <w:rFonts w:asciiTheme="majorHAnsi" w:hAnsiTheme="majorHAnsi"/>
          <w:szCs w:val="22"/>
        </w:rPr>
      </w:pPr>
    </w:p>
    <w:p w:rsidR="00D07577" w:rsidRPr="00F85DFD" w:rsidRDefault="00D07577">
      <w:pPr>
        <w:rPr>
          <w:rFonts w:asciiTheme="majorHAnsi" w:hAnsiTheme="majorHAnsi"/>
          <w:szCs w:val="22"/>
        </w:rPr>
      </w:pPr>
    </w:p>
    <w:p w:rsidR="009A31BE" w:rsidRPr="00F85DFD" w:rsidRDefault="00EB4015">
      <w:pPr>
        <w:numPr>
          <w:ilvl w:val="0"/>
          <w:numId w:val="5"/>
        </w:numPr>
        <w:ind w:left="360" w:hanging="359"/>
        <w:contextualSpacing/>
        <w:rPr>
          <w:rFonts w:asciiTheme="majorHAnsi" w:hAnsiTheme="majorHAnsi"/>
          <w:szCs w:val="22"/>
        </w:rPr>
      </w:pPr>
      <w:r w:rsidRPr="00F85DFD">
        <w:rPr>
          <w:rFonts w:asciiTheme="majorHAnsi" w:hAnsiTheme="majorHAnsi"/>
          <w:szCs w:val="22"/>
        </w:rPr>
        <w:t xml:space="preserve">X-ray absorption near edge structure (XANES) is a spectroscopic technique that can yield information about the oxidation state of a probed element through the excitation of a core electron. </w:t>
      </w:r>
    </w:p>
    <w:p w:rsidR="009A31BE" w:rsidRPr="00F85DFD" w:rsidRDefault="00EB4015">
      <w:pPr>
        <w:numPr>
          <w:ilvl w:val="1"/>
          <w:numId w:val="5"/>
        </w:numPr>
        <w:ind w:left="720" w:hanging="359"/>
        <w:contextualSpacing/>
        <w:rPr>
          <w:rFonts w:asciiTheme="majorHAnsi" w:hAnsiTheme="majorHAnsi"/>
          <w:szCs w:val="22"/>
        </w:rPr>
      </w:pPr>
      <w:r w:rsidRPr="00F85DFD">
        <w:rPr>
          <w:rFonts w:asciiTheme="majorHAnsi" w:hAnsiTheme="majorHAnsi"/>
          <w:szCs w:val="22"/>
        </w:rPr>
        <w:t xml:space="preserve">Fill in the table below with data from the paper.  What is the oxidation state of cobalt in the reduced </w:t>
      </w:r>
      <w:proofErr w:type="spellStart"/>
      <w:r w:rsidRPr="00F85DFD">
        <w:rPr>
          <w:rFonts w:asciiTheme="majorHAnsi" w:hAnsiTheme="majorHAnsi"/>
          <w:szCs w:val="22"/>
        </w:rPr>
        <w:t>metallopeptide</w:t>
      </w:r>
      <w:proofErr w:type="spellEnd"/>
      <w:r w:rsidRPr="00F85DFD">
        <w:rPr>
          <w:rFonts w:asciiTheme="majorHAnsi" w:hAnsiTheme="majorHAnsi"/>
          <w:szCs w:val="22"/>
        </w:rPr>
        <w:t xml:space="preserve">, partially oxidized </w:t>
      </w:r>
      <w:proofErr w:type="spellStart"/>
      <w:r w:rsidRPr="00F85DFD">
        <w:rPr>
          <w:rFonts w:asciiTheme="majorHAnsi" w:hAnsiTheme="majorHAnsi"/>
          <w:szCs w:val="22"/>
        </w:rPr>
        <w:t>metallopeptide</w:t>
      </w:r>
      <w:proofErr w:type="spellEnd"/>
      <w:r w:rsidRPr="00F85DFD">
        <w:rPr>
          <w:rFonts w:asciiTheme="majorHAnsi" w:hAnsiTheme="majorHAnsi"/>
          <w:szCs w:val="22"/>
        </w:rPr>
        <w:t xml:space="preserve">, and fully oxidized </w:t>
      </w:r>
      <w:proofErr w:type="spellStart"/>
      <w:r w:rsidRPr="00F85DFD">
        <w:rPr>
          <w:rFonts w:asciiTheme="majorHAnsi" w:hAnsiTheme="majorHAnsi"/>
          <w:szCs w:val="22"/>
        </w:rPr>
        <w:t>metallopeptide</w:t>
      </w:r>
      <w:proofErr w:type="spellEnd"/>
      <w:r w:rsidRPr="00F85DFD">
        <w:rPr>
          <w:rFonts w:asciiTheme="majorHAnsi" w:hAnsiTheme="majorHAnsi"/>
          <w:szCs w:val="22"/>
        </w:rPr>
        <w:t>? What are the K-edge energies for the Co edge for each sample?</w:t>
      </w:r>
    </w:p>
    <w:p w:rsidR="009A31BE" w:rsidRPr="00F85DFD" w:rsidRDefault="009A31BE">
      <w:pPr>
        <w:rPr>
          <w:rFonts w:asciiTheme="majorHAnsi" w:hAnsiTheme="majorHAnsi"/>
          <w:szCs w:val="22"/>
        </w:rPr>
      </w:pPr>
    </w:p>
    <w:tbl>
      <w:tblPr>
        <w:tblStyle w:val="a0"/>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120"/>
        <w:gridCol w:w="3120"/>
      </w:tblGrid>
      <w:tr w:rsidR="009A31BE" w:rsidRPr="00F85DFD">
        <w:trPr>
          <w:jc w:val="center"/>
        </w:trPr>
        <w:tc>
          <w:tcPr>
            <w:tcW w:w="2400" w:type="dxa"/>
            <w:tcMar>
              <w:top w:w="100" w:type="dxa"/>
              <w:left w:w="100" w:type="dxa"/>
              <w:bottom w:w="100" w:type="dxa"/>
              <w:right w:w="100" w:type="dxa"/>
            </w:tcMar>
          </w:tcPr>
          <w:p w:rsidR="009A31BE" w:rsidRPr="00F85DFD" w:rsidRDefault="009A31BE">
            <w:pPr>
              <w:spacing w:line="240" w:lineRule="auto"/>
              <w:rPr>
                <w:rFonts w:asciiTheme="majorHAnsi" w:hAnsiTheme="majorHAnsi"/>
                <w:szCs w:val="22"/>
              </w:rPr>
            </w:pPr>
          </w:p>
        </w:tc>
        <w:tc>
          <w:tcPr>
            <w:tcW w:w="3120" w:type="dxa"/>
            <w:tcMar>
              <w:top w:w="100" w:type="dxa"/>
              <w:left w:w="100" w:type="dxa"/>
              <w:bottom w:w="100" w:type="dxa"/>
              <w:right w:w="100" w:type="dxa"/>
            </w:tcMar>
          </w:tcPr>
          <w:p w:rsidR="009A31BE" w:rsidRPr="00F85DFD" w:rsidRDefault="00EB4015">
            <w:pPr>
              <w:spacing w:line="240" w:lineRule="auto"/>
              <w:jc w:val="center"/>
              <w:rPr>
                <w:rFonts w:asciiTheme="majorHAnsi" w:hAnsiTheme="majorHAnsi"/>
                <w:szCs w:val="22"/>
              </w:rPr>
            </w:pPr>
            <w:r w:rsidRPr="00F85DFD">
              <w:rPr>
                <w:rFonts w:asciiTheme="majorHAnsi" w:hAnsiTheme="majorHAnsi"/>
                <w:szCs w:val="22"/>
              </w:rPr>
              <w:t>Cobalt oxidation state</w:t>
            </w:r>
          </w:p>
        </w:tc>
        <w:tc>
          <w:tcPr>
            <w:tcW w:w="3120" w:type="dxa"/>
            <w:tcMar>
              <w:top w:w="100" w:type="dxa"/>
              <w:left w:w="100" w:type="dxa"/>
              <w:bottom w:w="100" w:type="dxa"/>
              <w:right w:w="100" w:type="dxa"/>
            </w:tcMar>
          </w:tcPr>
          <w:p w:rsidR="009A31BE" w:rsidRPr="00F85DFD" w:rsidRDefault="00EB4015">
            <w:pPr>
              <w:spacing w:line="240" w:lineRule="auto"/>
              <w:jc w:val="center"/>
              <w:rPr>
                <w:rFonts w:asciiTheme="majorHAnsi" w:hAnsiTheme="majorHAnsi"/>
                <w:szCs w:val="22"/>
              </w:rPr>
            </w:pPr>
            <w:r w:rsidRPr="00F85DFD">
              <w:rPr>
                <w:rFonts w:asciiTheme="majorHAnsi" w:hAnsiTheme="majorHAnsi"/>
                <w:szCs w:val="22"/>
              </w:rPr>
              <w:t>K-edge energy (</w:t>
            </w:r>
            <w:proofErr w:type="spellStart"/>
            <w:r w:rsidRPr="00F85DFD">
              <w:rPr>
                <w:rFonts w:asciiTheme="majorHAnsi" w:hAnsiTheme="majorHAnsi"/>
                <w:szCs w:val="22"/>
              </w:rPr>
              <w:t>eV</w:t>
            </w:r>
            <w:proofErr w:type="spellEnd"/>
            <w:r w:rsidRPr="00F85DFD">
              <w:rPr>
                <w:rFonts w:asciiTheme="majorHAnsi" w:hAnsiTheme="majorHAnsi"/>
                <w:szCs w:val="22"/>
              </w:rPr>
              <w:t>)</w:t>
            </w:r>
          </w:p>
        </w:tc>
      </w:tr>
      <w:tr w:rsidR="009A31BE" w:rsidRPr="00F85DFD">
        <w:trPr>
          <w:jc w:val="center"/>
        </w:trPr>
        <w:tc>
          <w:tcPr>
            <w:tcW w:w="2400" w:type="dxa"/>
            <w:tcMar>
              <w:top w:w="100" w:type="dxa"/>
              <w:left w:w="100" w:type="dxa"/>
              <w:bottom w:w="100" w:type="dxa"/>
              <w:right w:w="100" w:type="dxa"/>
            </w:tcMar>
          </w:tcPr>
          <w:p w:rsidR="009A31BE" w:rsidRPr="00F85DFD" w:rsidRDefault="00EB4015">
            <w:pPr>
              <w:spacing w:line="240" w:lineRule="auto"/>
              <w:rPr>
                <w:rFonts w:asciiTheme="majorHAnsi" w:hAnsiTheme="majorHAnsi"/>
                <w:szCs w:val="22"/>
              </w:rPr>
            </w:pPr>
            <w:r w:rsidRPr="00F85DFD">
              <w:rPr>
                <w:rFonts w:asciiTheme="majorHAnsi" w:hAnsiTheme="majorHAnsi"/>
                <w:szCs w:val="22"/>
              </w:rPr>
              <w:t>Reduced</w:t>
            </w:r>
          </w:p>
        </w:tc>
        <w:tc>
          <w:tcPr>
            <w:tcW w:w="3120" w:type="dxa"/>
            <w:tcMar>
              <w:top w:w="100" w:type="dxa"/>
              <w:left w:w="100" w:type="dxa"/>
              <w:bottom w:w="100" w:type="dxa"/>
              <w:right w:w="100" w:type="dxa"/>
            </w:tcMar>
          </w:tcPr>
          <w:p w:rsidR="00D07577" w:rsidRPr="00F85DFD" w:rsidRDefault="00D07577">
            <w:pPr>
              <w:spacing w:line="240" w:lineRule="auto"/>
              <w:jc w:val="center"/>
              <w:rPr>
                <w:rFonts w:asciiTheme="majorHAnsi" w:hAnsiTheme="majorHAnsi"/>
                <w:szCs w:val="22"/>
              </w:rPr>
            </w:pPr>
          </w:p>
        </w:tc>
        <w:tc>
          <w:tcPr>
            <w:tcW w:w="3120"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r>
      <w:tr w:rsidR="009A31BE" w:rsidRPr="00F85DFD">
        <w:trPr>
          <w:jc w:val="center"/>
        </w:trPr>
        <w:tc>
          <w:tcPr>
            <w:tcW w:w="2400" w:type="dxa"/>
            <w:tcMar>
              <w:top w:w="100" w:type="dxa"/>
              <w:left w:w="100" w:type="dxa"/>
              <w:bottom w:w="100" w:type="dxa"/>
              <w:right w:w="100" w:type="dxa"/>
            </w:tcMar>
          </w:tcPr>
          <w:p w:rsidR="009A31BE" w:rsidRPr="00F85DFD" w:rsidRDefault="00EB4015">
            <w:pPr>
              <w:spacing w:line="240" w:lineRule="auto"/>
              <w:rPr>
                <w:rFonts w:asciiTheme="majorHAnsi" w:hAnsiTheme="majorHAnsi"/>
                <w:szCs w:val="22"/>
              </w:rPr>
            </w:pPr>
            <w:r w:rsidRPr="00F85DFD">
              <w:rPr>
                <w:rFonts w:asciiTheme="majorHAnsi" w:hAnsiTheme="majorHAnsi"/>
                <w:szCs w:val="22"/>
              </w:rPr>
              <w:t>Partially oxidized</w:t>
            </w:r>
          </w:p>
        </w:tc>
        <w:tc>
          <w:tcPr>
            <w:tcW w:w="3120"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c>
          <w:tcPr>
            <w:tcW w:w="3120"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r>
      <w:tr w:rsidR="009A31BE" w:rsidRPr="00F85DFD">
        <w:trPr>
          <w:jc w:val="center"/>
        </w:trPr>
        <w:tc>
          <w:tcPr>
            <w:tcW w:w="2400" w:type="dxa"/>
            <w:tcMar>
              <w:top w:w="100" w:type="dxa"/>
              <w:left w:w="100" w:type="dxa"/>
              <w:bottom w:w="100" w:type="dxa"/>
              <w:right w:w="100" w:type="dxa"/>
            </w:tcMar>
          </w:tcPr>
          <w:p w:rsidR="009A31BE" w:rsidRPr="00F85DFD" w:rsidRDefault="00EB4015">
            <w:pPr>
              <w:spacing w:line="240" w:lineRule="auto"/>
              <w:rPr>
                <w:rFonts w:asciiTheme="majorHAnsi" w:hAnsiTheme="majorHAnsi"/>
                <w:szCs w:val="22"/>
              </w:rPr>
            </w:pPr>
            <w:r w:rsidRPr="00F85DFD">
              <w:rPr>
                <w:rFonts w:asciiTheme="majorHAnsi" w:hAnsiTheme="majorHAnsi"/>
                <w:szCs w:val="22"/>
              </w:rPr>
              <w:t>Fully oxidized</w:t>
            </w:r>
          </w:p>
        </w:tc>
        <w:tc>
          <w:tcPr>
            <w:tcW w:w="3120"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c>
          <w:tcPr>
            <w:tcW w:w="3120" w:type="dxa"/>
            <w:tcMar>
              <w:top w:w="100" w:type="dxa"/>
              <w:left w:w="100" w:type="dxa"/>
              <w:bottom w:w="100" w:type="dxa"/>
              <w:right w:w="100" w:type="dxa"/>
            </w:tcMar>
          </w:tcPr>
          <w:p w:rsidR="009A31BE" w:rsidRPr="00F85DFD" w:rsidRDefault="009A31BE">
            <w:pPr>
              <w:spacing w:line="240" w:lineRule="auto"/>
              <w:jc w:val="center"/>
              <w:rPr>
                <w:rFonts w:asciiTheme="majorHAnsi" w:hAnsiTheme="majorHAnsi"/>
                <w:szCs w:val="22"/>
              </w:rPr>
            </w:pPr>
          </w:p>
        </w:tc>
      </w:tr>
    </w:tbl>
    <w:p w:rsidR="009A31BE" w:rsidRPr="00F85DFD" w:rsidRDefault="009A31BE">
      <w:pPr>
        <w:rPr>
          <w:rFonts w:asciiTheme="majorHAnsi" w:hAnsiTheme="majorHAnsi"/>
          <w:szCs w:val="22"/>
        </w:rPr>
      </w:pPr>
    </w:p>
    <w:p w:rsidR="009A31BE" w:rsidRPr="00F85DFD" w:rsidRDefault="00EB4015">
      <w:pPr>
        <w:numPr>
          <w:ilvl w:val="1"/>
          <w:numId w:val="3"/>
        </w:numPr>
        <w:ind w:left="720" w:hanging="359"/>
        <w:contextualSpacing/>
        <w:rPr>
          <w:rFonts w:asciiTheme="majorHAnsi" w:hAnsiTheme="majorHAnsi"/>
          <w:szCs w:val="22"/>
        </w:rPr>
      </w:pPr>
      <w:r w:rsidRPr="00F85DFD">
        <w:rPr>
          <w:rFonts w:asciiTheme="majorHAnsi" w:hAnsiTheme="majorHAnsi"/>
          <w:szCs w:val="22"/>
        </w:rPr>
        <w:t>Rationalize the trend in K-edge energy as it relates to oxidation state of cobalt.</w:t>
      </w:r>
    </w:p>
    <w:p w:rsidR="009A31BE" w:rsidRPr="00F85DFD" w:rsidRDefault="00EB4015">
      <w:pPr>
        <w:rPr>
          <w:rFonts w:asciiTheme="majorHAnsi" w:hAnsiTheme="majorHAnsi"/>
          <w:szCs w:val="22"/>
        </w:rPr>
      </w:pPr>
      <w:r w:rsidRPr="00F85DFD">
        <w:rPr>
          <w:rFonts w:asciiTheme="majorHAnsi" w:hAnsiTheme="majorHAnsi"/>
          <w:szCs w:val="22"/>
        </w:rPr>
        <w:br w:type="page"/>
      </w:r>
    </w:p>
    <w:p w:rsidR="009A31BE" w:rsidRPr="00F85DFD" w:rsidRDefault="00EB4015">
      <w:pPr>
        <w:numPr>
          <w:ilvl w:val="0"/>
          <w:numId w:val="5"/>
        </w:numPr>
        <w:ind w:left="360" w:hanging="359"/>
        <w:contextualSpacing/>
        <w:rPr>
          <w:rFonts w:asciiTheme="majorHAnsi" w:hAnsiTheme="majorHAnsi"/>
          <w:szCs w:val="22"/>
        </w:rPr>
      </w:pPr>
      <w:r w:rsidRPr="00F85DFD">
        <w:rPr>
          <w:rFonts w:asciiTheme="majorHAnsi" w:hAnsiTheme="majorHAnsi"/>
          <w:szCs w:val="22"/>
        </w:rPr>
        <w:lastRenderedPageBreak/>
        <w:t>Why did the authors use negative mode ESI-MS to test the reduced Co-SODA? Why did the authors simulate the ESI-MS clusters (supporting information Figure S1)?</w:t>
      </w: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EB4015">
      <w:pPr>
        <w:numPr>
          <w:ilvl w:val="0"/>
          <w:numId w:val="4"/>
        </w:numPr>
        <w:ind w:left="360" w:hanging="359"/>
        <w:contextualSpacing/>
        <w:rPr>
          <w:rFonts w:asciiTheme="majorHAnsi" w:hAnsiTheme="majorHAnsi"/>
          <w:szCs w:val="22"/>
        </w:rPr>
      </w:pPr>
      <w:r w:rsidRPr="00F85DFD">
        <w:rPr>
          <w:rFonts w:asciiTheme="majorHAnsi" w:hAnsiTheme="majorHAnsi"/>
          <w:szCs w:val="22"/>
        </w:rPr>
        <w:t>What is the magnetic susceptibility of the reduced Co-SODA complex?  What information is revealed by this measurement?</w:t>
      </w: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EB4015">
      <w:pPr>
        <w:numPr>
          <w:ilvl w:val="0"/>
          <w:numId w:val="4"/>
        </w:numPr>
        <w:ind w:left="360" w:hanging="359"/>
        <w:contextualSpacing/>
        <w:rPr>
          <w:rFonts w:asciiTheme="majorHAnsi" w:hAnsiTheme="majorHAnsi"/>
          <w:szCs w:val="22"/>
        </w:rPr>
      </w:pPr>
      <w:r w:rsidRPr="00F85DFD">
        <w:rPr>
          <w:rFonts w:asciiTheme="majorHAnsi" w:hAnsiTheme="majorHAnsi"/>
          <w:szCs w:val="22"/>
        </w:rPr>
        <w:t xml:space="preserve">How does the IR spectroscopy measurement support the assignment of the coordination sphere of the </w:t>
      </w:r>
      <w:proofErr w:type="gramStart"/>
      <w:r w:rsidRPr="00F85DFD">
        <w:rPr>
          <w:rFonts w:asciiTheme="majorHAnsi" w:hAnsiTheme="majorHAnsi"/>
          <w:szCs w:val="22"/>
        </w:rPr>
        <w:t>cobalt(</w:t>
      </w:r>
      <w:proofErr w:type="gramEnd"/>
      <w:r w:rsidRPr="00F85DFD">
        <w:rPr>
          <w:rFonts w:asciiTheme="majorHAnsi" w:hAnsiTheme="majorHAnsi"/>
          <w:szCs w:val="22"/>
        </w:rPr>
        <w:t>II) center?</w:t>
      </w: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9A31BE">
      <w:pPr>
        <w:rPr>
          <w:rFonts w:asciiTheme="majorHAnsi" w:hAnsiTheme="majorHAnsi"/>
          <w:szCs w:val="22"/>
        </w:rPr>
      </w:pPr>
    </w:p>
    <w:p w:rsidR="009A31BE" w:rsidRPr="00F85DFD" w:rsidRDefault="00EB4015">
      <w:pPr>
        <w:numPr>
          <w:ilvl w:val="0"/>
          <w:numId w:val="4"/>
        </w:numPr>
        <w:ind w:left="360" w:hanging="359"/>
        <w:contextualSpacing/>
        <w:rPr>
          <w:rFonts w:asciiTheme="majorHAnsi" w:hAnsiTheme="majorHAnsi"/>
          <w:szCs w:val="22"/>
        </w:rPr>
      </w:pPr>
      <w:r w:rsidRPr="00F85DFD">
        <w:rPr>
          <w:rFonts w:asciiTheme="majorHAnsi" w:hAnsiTheme="majorHAnsi"/>
          <w:szCs w:val="22"/>
        </w:rPr>
        <w:t>The UV-</w:t>
      </w:r>
      <w:proofErr w:type="spellStart"/>
      <w:r w:rsidRPr="00F85DFD">
        <w:rPr>
          <w:rFonts w:asciiTheme="majorHAnsi" w:hAnsiTheme="majorHAnsi"/>
          <w:szCs w:val="22"/>
        </w:rPr>
        <w:t>vis</w:t>
      </w:r>
      <w:proofErr w:type="spellEnd"/>
      <w:r w:rsidRPr="00F85DFD">
        <w:rPr>
          <w:rFonts w:asciiTheme="majorHAnsi" w:hAnsiTheme="majorHAnsi"/>
          <w:szCs w:val="22"/>
        </w:rPr>
        <w:t xml:space="preserve"> absorbance bands at 725 nm, 681 nm, and 609 nm are assigned as ligand field (or d-d) transitions. How did the authors make this assignment?</w:t>
      </w:r>
    </w:p>
    <w:p w:rsidR="009A31BE" w:rsidRPr="00F85DFD" w:rsidRDefault="00EB4015">
      <w:pPr>
        <w:rPr>
          <w:rFonts w:asciiTheme="majorHAnsi" w:hAnsiTheme="majorHAnsi"/>
          <w:szCs w:val="22"/>
        </w:rPr>
      </w:pPr>
      <w:r w:rsidRPr="00F85DFD">
        <w:rPr>
          <w:rFonts w:asciiTheme="majorHAnsi" w:hAnsiTheme="majorHAnsi"/>
          <w:szCs w:val="22"/>
        </w:rPr>
        <w:br w:type="page"/>
      </w:r>
    </w:p>
    <w:p w:rsidR="009A31BE" w:rsidRPr="00F85DFD" w:rsidRDefault="009A31BE">
      <w:pPr>
        <w:jc w:val="both"/>
        <w:rPr>
          <w:rFonts w:asciiTheme="majorHAnsi" w:hAnsiTheme="majorHAnsi"/>
          <w:szCs w:val="22"/>
        </w:rPr>
      </w:pPr>
    </w:p>
    <w:p w:rsidR="009A31BE" w:rsidRPr="00F85DFD" w:rsidRDefault="00EB4015">
      <w:pPr>
        <w:numPr>
          <w:ilvl w:val="0"/>
          <w:numId w:val="4"/>
        </w:numPr>
        <w:ind w:left="360" w:hanging="359"/>
        <w:contextualSpacing/>
        <w:jc w:val="both"/>
        <w:rPr>
          <w:rFonts w:asciiTheme="majorHAnsi" w:hAnsiTheme="majorHAnsi"/>
          <w:szCs w:val="22"/>
        </w:rPr>
      </w:pPr>
      <w:r w:rsidRPr="00F85DFD">
        <w:rPr>
          <w:rFonts w:asciiTheme="majorHAnsi" w:hAnsiTheme="majorHAnsi"/>
          <w:szCs w:val="22"/>
        </w:rPr>
        <w:t xml:space="preserve">Draw the Lewis structures of </w:t>
      </w:r>
      <w:proofErr w:type="spellStart"/>
      <w:r w:rsidRPr="00F85DFD">
        <w:rPr>
          <w:rFonts w:asciiTheme="majorHAnsi" w:hAnsiTheme="majorHAnsi"/>
          <w:szCs w:val="22"/>
        </w:rPr>
        <w:t>thiolate</w:t>
      </w:r>
      <w:proofErr w:type="spellEnd"/>
      <w:r w:rsidRPr="00F85DFD">
        <w:rPr>
          <w:rFonts w:asciiTheme="majorHAnsi" w:hAnsiTheme="majorHAnsi"/>
          <w:szCs w:val="22"/>
        </w:rPr>
        <w:t xml:space="preserve">, </w:t>
      </w:r>
      <w:proofErr w:type="spellStart"/>
      <w:r w:rsidRPr="00F85DFD">
        <w:rPr>
          <w:rFonts w:asciiTheme="majorHAnsi" w:hAnsiTheme="majorHAnsi"/>
          <w:szCs w:val="22"/>
        </w:rPr>
        <w:t>sulfenate</w:t>
      </w:r>
      <w:proofErr w:type="spellEnd"/>
      <w:r w:rsidRPr="00F85DFD">
        <w:rPr>
          <w:rFonts w:asciiTheme="majorHAnsi" w:hAnsiTheme="majorHAnsi"/>
          <w:szCs w:val="22"/>
        </w:rPr>
        <w:t xml:space="preserve">, and </w:t>
      </w:r>
      <w:proofErr w:type="spellStart"/>
      <w:r w:rsidRPr="00F85DFD">
        <w:rPr>
          <w:rFonts w:asciiTheme="majorHAnsi" w:hAnsiTheme="majorHAnsi"/>
          <w:szCs w:val="22"/>
        </w:rPr>
        <w:t>sulfinate</w:t>
      </w:r>
      <w:proofErr w:type="spellEnd"/>
      <w:r w:rsidRPr="00F85DFD">
        <w:rPr>
          <w:rFonts w:asciiTheme="majorHAnsi" w:hAnsiTheme="majorHAnsi"/>
          <w:szCs w:val="22"/>
        </w:rPr>
        <w:t xml:space="preserve"> groups. </w:t>
      </w:r>
    </w:p>
    <w:p w:rsidR="009A31BE" w:rsidRPr="00F85DFD" w:rsidRDefault="009A31BE">
      <w:pPr>
        <w:jc w:val="both"/>
        <w:rPr>
          <w:rFonts w:asciiTheme="majorHAnsi" w:hAnsiTheme="majorHAnsi"/>
          <w:szCs w:val="22"/>
        </w:rPr>
      </w:pPr>
    </w:p>
    <w:p w:rsidR="009A31BE" w:rsidRPr="00F85DFD" w:rsidRDefault="009A31BE">
      <w:pPr>
        <w:jc w:val="center"/>
        <w:rPr>
          <w:rFonts w:asciiTheme="majorHAnsi" w:hAnsiTheme="majorHAnsi"/>
          <w:szCs w:val="22"/>
        </w:rPr>
      </w:pPr>
    </w:p>
    <w:p w:rsidR="009A31BE" w:rsidRPr="00F85DFD" w:rsidRDefault="009A31BE">
      <w:pPr>
        <w:jc w:val="both"/>
        <w:rPr>
          <w:rFonts w:asciiTheme="majorHAnsi" w:hAnsiTheme="majorHAnsi"/>
          <w:szCs w:val="22"/>
        </w:rPr>
      </w:pPr>
    </w:p>
    <w:p w:rsidR="009A31BE" w:rsidRPr="00F85DFD" w:rsidRDefault="00EB4015">
      <w:pPr>
        <w:numPr>
          <w:ilvl w:val="1"/>
          <w:numId w:val="4"/>
        </w:numPr>
        <w:ind w:left="720" w:hanging="359"/>
        <w:contextualSpacing/>
        <w:rPr>
          <w:rFonts w:asciiTheme="majorHAnsi" w:hAnsiTheme="majorHAnsi"/>
          <w:szCs w:val="22"/>
        </w:rPr>
      </w:pPr>
      <w:r w:rsidRPr="00F85DFD">
        <w:rPr>
          <w:rFonts w:asciiTheme="majorHAnsi" w:hAnsiTheme="majorHAnsi"/>
          <w:szCs w:val="22"/>
        </w:rPr>
        <w:t xml:space="preserve">Rank order these from least oxidized to most oxidized sulfur. It may help to assign the oxidation state of sulfur using the oxidation number method.  You can assume the oxidation number of an adjacent carbon atom is </w:t>
      </w:r>
      <w:r w:rsidR="00D7439F">
        <w:rPr>
          <w:rFonts w:asciiTheme="majorHAnsi" w:hAnsiTheme="majorHAnsi"/>
          <w:szCs w:val="22"/>
        </w:rPr>
        <w:t>+</w:t>
      </w:r>
      <w:bookmarkStart w:id="0" w:name="_GoBack"/>
      <w:bookmarkEnd w:id="0"/>
      <w:r w:rsidRPr="00F85DFD">
        <w:rPr>
          <w:rFonts w:asciiTheme="majorHAnsi" w:hAnsiTheme="majorHAnsi"/>
          <w:szCs w:val="22"/>
        </w:rPr>
        <w:t xml:space="preserve">1. </w:t>
      </w:r>
    </w:p>
    <w:p w:rsidR="009A31BE" w:rsidRPr="00F85DFD" w:rsidRDefault="009A31BE">
      <w:pPr>
        <w:ind w:left="720" w:hanging="359"/>
        <w:rPr>
          <w:rFonts w:asciiTheme="majorHAnsi" w:hAnsiTheme="majorHAnsi"/>
          <w:szCs w:val="22"/>
        </w:rPr>
      </w:pPr>
    </w:p>
    <w:p w:rsidR="009A31BE" w:rsidRDefault="009A31BE">
      <w:pPr>
        <w:ind w:left="720" w:hanging="359"/>
        <w:rPr>
          <w:rFonts w:asciiTheme="majorHAnsi" w:hAnsiTheme="majorHAnsi"/>
          <w:szCs w:val="22"/>
        </w:rPr>
      </w:pPr>
    </w:p>
    <w:p w:rsidR="00D07577" w:rsidRDefault="00D07577">
      <w:pPr>
        <w:ind w:left="720" w:hanging="359"/>
        <w:rPr>
          <w:rFonts w:asciiTheme="majorHAnsi" w:hAnsiTheme="majorHAnsi"/>
          <w:szCs w:val="22"/>
        </w:rPr>
      </w:pPr>
    </w:p>
    <w:p w:rsidR="00D07577" w:rsidRPr="00F85DFD" w:rsidRDefault="00D07577">
      <w:pPr>
        <w:ind w:left="720" w:hanging="359"/>
        <w:rPr>
          <w:rFonts w:asciiTheme="majorHAnsi" w:hAnsiTheme="majorHAnsi"/>
          <w:szCs w:val="22"/>
        </w:rPr>
      </w:pPr>
    </w:p>
    <w:p w:rsidR="009A31BE" w:rsidRPr="00F85DFD" w:rsidRDefault="00EB4015">
      <w:pPr>
        <w:numPr>
          <w:ilvl w:val="1"/>
          <w:numId w:val="4"/>
        </w:numPr>
        <w:ind w:left="720" w:hanging="359"/>
        <w:contextualSpacing/>
        <w:rPr>
          <w:rFonts w:asciiTheme="majorHAnsi" w:hAnsiTheme="majorHAnsi"/>
          <w:szCs w:val="22"/>
        </w:rPr>
      </w:pPr>
      <w:r w:rsidRPr="00F85DFD">
        <w:rPr>
          <w:rFonts w:asciiTheme="majorHAnsi" w:hAnsiTheme="majorHAnsi"/>
          <w:szCs w:val="22"/>
        </w:rPr>
        <w:t xml:space="preserve">How does donor ability change as sulfur is oxidized?  </w:t>
      </w:r>
    </w:p>
    <w:p w:rsidR="009A31BE" w:rsidRDefault="009A31BE" w:rsidP="00D07577">
      <w:pPr>
        <w:ind w:left="720"/>
        <w:rPr>
          <w:rFonts w:asciiTheme="majorHAnsi" w:hAnsiTheme="majorHAnsi"/>
          <w:szCs w:val="22"/>
        </w:rPr>
      </w:pPr>
    </w:p>
    <w:p w:rsidR="00D07577" w:rsidRPr="00F85DFD" w:rsidRDefault="00D07577">
      <w:pPr>
        <w:ind w:left="720" w:hanging="359"/>
        <w:rPr>
          <w:rFonts w:asciiTheme="majorHAnsi" w:hAnsiTheme="majorHAnsi"/>
          <w:szCs w:val="22"/>
        </w:rPr>
      </w:pPr>
    </w:p>
    <w:p w:rsidR="009A31BE" w:rsidRPr="00F85DFD" w:rsidRDefault="009A31BE">
      <w:pPr>
        <w:rPr>
          <w:rFonts w:asciiTheme="majorHAnsi" w:hAnsiTheme="majorHAnsi"/>
          <w:szCs w:val="22"/>
        </w:rPr>
      </w:pPr>
    </w:p>
    <w:p w:rsidR="009A31BE" w:rsidRDefault="009A31BE">
      <w:pPr>
        <w:rPr>
          <w:rFonts w:asciiTheme="majorHAnsi" w:hAnsiTheme="majorHAnsi"/>
          <w:szCs w:val="22"/>
        </w:rPr>
      </w:pPr>
    </w:p>
    <w:p w:rsidR="00D07577" w:rsidRPr="00F85DFD" w:rsidRDefault="00D07577">
      <w:pPr>
        <w:rPr>
          <w:rFonts w:asciiTheme="majorHAnsi" w:hAnsiTheme="majorHAnsi"/>
          <w:szCs w:val="22"/>
        </w:rPr>
      </w:pPr>
    </w:p>
    <w:p w:rsidR="009A31BE" w:rsidRPr="00F85DFD" w:rsidRDefault="00EB4015">
      <w:pPr>
        <w:numPr>
          <w:ilvl w:val="0"/>
          <w:numId w:val="4"/>
        </w:numPr>
        <w:ind w:left="360" w:hanging="359"/>
        <w:contextualSpacing/>
        <w:rPr>
          <w:rFonts w:asciiTheme="majorHAnsi" w:hAnsiTheme="majorHAnsi"/>
          <w:szCs w:val="22"/>
        </w:rPr>
      </w:pPr>
      <w:r w:rsidRPr="00F85DFD">
        <w:rPr>
          <w:rFonts w:asciiTheme="majorHAnsi" w:hAnsiTheme="majorHAnsi"/>
          <w:szCs w:val="22"/>
        </w:rPr>
        <w:t xml:space="preserve">One possible mechanism for the action of nitrile </w:t>
      </w:r>
      <w:proofErr w:type="spellStart"/>
      <w:r w:rsidRPr="00F85DFD">
        <w:rPr>
          <w:rFonts w:asciiTheme="majorHAnsi" w:hAnsiTheme="majorHAnsi"/>
          <w:szCs w:val="22"/>
        </w:rPr>
        <w:t>hydratase</w:t>
      </w:r>
      <w:proofErr w:type="spellEnd"/>
      <w:r w:rsidRPr="00F85DFD">
        <w:rPr>
          <w:rFonts w:asciiTheme="majorHAnsi" w:hAnsiTheme="majorHAnsi"/>
          <w:szCs w:val="22"/>
        </w:rPr>
        <w:t xml:space="preserve"> is the activation of a water molecule by the </w:t>
      </w:r>
      <w:proofErr w:type="gramStart"/>
      <w:r w:rsidRPr="00F85DFD">
        <w:rPr>
          <w:rFonts w:asciiTheme="majorHAnsi" w:hAnsiTheme="majorHAnsi"/>
          <w:szCs w:val="22"/>
        </w:rPr>
        <w:t>Co(</w:t>
      </w:r>
      <w:proofErr w:type="gramEnd"/>
      <w:r w:rsidRPr="00F85DFD">
        <w:rPr>
          <w:rFonts w:asciiTheme="majorHAnsi" w:hAnsiTheme="majorHAnsi"/>
          <w:szCs w:val="22"/>
        </w:rPr>
        <w:t xml:space="preserve">III) center to become a </w:t>
      </w:r>
      <w:proofErr w:type="spellStart"/>
      <w:r w:rsidRPr="00F85DFD">
        <w:rPr>
          <w:rFonts w:asciiTheme="majorHAnsi" w:hAnsiTheme="majorHAnsi"/>
          <w:szCs w:val="22"/>
        </w:rPr>
        <w:t>nucleophilic</w:t>
      </w:r>
      <w:proofErr w:type="spellEnd"/>
      <w:r w:rsidRPr="00F85DFD">
        <w:rPr>
          <w:rFonts w:asciiTheme="majorHAnsi" w:hAnsiTheme="majorHAnsi"/>
          <w:szCs w:val="22"/>
        </w:rPr>
        <w:t xml:space="preserve"> hydroxide ion.  A notable difference between the active enzyme and the inactive </w:t>
      </w:r>
      <w:proofErr w:type="spellStart"/>
      <w:r w:rsidRPr="00F85DFD">
        <w:rPr>
          <w:rFonts w:asciiTheme="majorHAnsi" w:hAnsiTheme="majorHAnsi"/>
          <w:szCs w:val="22"/>
        </w:rPr>
        <w:t>metallopeptide</w:t>
      </w:r>
      <w:proofErr w:type="spellEnd"/>
      <w:r w:rsidRPr="00F85DFD">
        <w:rPr>
          <w:rFonts w:asciiTheme="majorHAnsi" w:hAnsiTheme="majorHAnsi"/>
          <w:szCs w:val="22"/>
        </w:rPr>
        <w:t xml:space="preserve"> model complex is the presence of an additional cysteine </w:t>
      </w:r>
      <w:proofErr w:type="spellStart"/>
      <w:r w:rsidRPr="00F85DFD">
        <w:rPr>
          <w:rFonts w:asciiTheme="majorHAnsi" w:hAnsiTheme="majorHAnsi"/>
          <w:szCs w:val="22"/>
        </w:rPr>
        <w:t>thiolate</w:t>
      </w:r>
      <w:proofErr w:type="spellEnd"/>
      <w:r w:rsidRPr="00F85DFD">
        <w:rPr>
          <w:rFonts w:asciiTheme="majorHAnsi" w:hAnsiTheme="majorHAnsi"/>
          <w:szCs w:val="22"/>
        </w:rPr>
        <w:t xml:space="preserve"> ligand </w:t>
      </w:r>
      <w:proofErr w:type="gramStart"/>
      <w:r w:rsidRPr="00F85DFD">
        <w:rPr>
          <w:rFonts w:asciiTheme="majorHAnsi" w:hAnsiTheme="majorHAnsi"/>
          <w:i/>
          <w:szCs w:val="22"/>
        </w:rPr>
        <w:t>trans</w:t>
      </w:r>
      <w:proofErr w:type="gramEnd"/>
      <w:r w:rsidRPr="00F85DFD">
        <w:rPr>
          <w:rFonts w:asciiTheme="majorHAnsi" w:hAnsiTheme="majorHAnsi"/>
          <w:i/>
          <w:szCs w:val="22"/>
        </w:rPr>
        <w:t xml:space="preserve"> </w:t>
      </w:r>
      <w:r w:rsidRPr="00F85DFD">
        <w:rPr>
          <w:rFonts w:asciiTheme="majorHAnsi" w:hAnsiTheme="majorHAnsi"/>
          <w:szCs w:val="22"/>
        </w:rPr>
        <w:t xml:space="preserve">to a putative water-binding site.  </w:t>
      </w:r>
    </w:p>
    <w:p w:rsidR="009A31BE" w:rsidRPr="00F85DFD" w:rsidRDefault="00EB4015">
      <w:pPr>
        <w:numPr>
          <w:ilvl w:val="1"/>
          <w:numId w:val="1"/>
        </w:numPr>
        <w:ind w:left="720" w:hanging="359"/>
        <w:contextualSpacing/>
        <w:rPr>
          <w:rFonts w:asciiTheme="majorHAnsi" w:hAnsiTheme="majorHAnsi"/>
          <w:szCs w:val="22"/>
        </w:rPr>
      </w:pPr>
      <w:r w:rsidRPr="00F85DFD">
        <w:rPr>
          <w:rFonts w:asciiTheme="majorHAnsi" w:hAnsiTheme="majorHAnsi"/>
          <w:szCs w:val="22"/>
        </w:rPr>
        <w:t xml:space="preserve">How would the addition of a cysteine </w:t>
      </w:r>
      <w:proofErr w:type="spellStart"/>
      <w:r w:rsidRPr="00F85DFD">
        <w:rPr>
          <w:rFonts w:asciiTheme="majorHAnsi" w:hAnsiTheme="majorHAnsi"/>
          <w:szCs w:val="22"/>
        </w:rPr>
        <w:t>thiolate</w:t>
      </w:r>
      <w:proofErr w:type="spellEnd"/>
      <w:r w:rsidRPr="00F85DFD">
        <w:rPr>
          <w:rFonts w:asciiTheme="majorHAnsi" w:hAnsiTheme="majorHAnsi"/>
          <w:szCs w:val="22"/>
        </w:rPr>
        <w:t xml:space="preserve"> to the model complex change the rate of dissociation of a bound hydroxide ion from the cobalt center?</w:t>
      </w:r>
    </w:p>
    <w:p w:rsidR="009A31BE" w:rsidRPr="00F85DFD" w:rsidRDefault="009A31BE">
      <w:pPr>
        <w:rPr>
          <w:rFonts w:asciiTheme="majorHAnsi" w:hAnsiTheme="majorHAnsi"/>
          <w:szCs w:val="22"/>
        </w:rPr>
      </w:pPr>
    </w:p>
    <w:p w:rsidR="009A31BE" w:rsidRDefault="009A31BE">
      <w:pPr>
        <w:rPr>
          <w:rFonts w:asciiTheme="majorHAnsi" w:hAnsiTheme="majorHAnsi"/>
          <w:szCs w:val="22"/>
        </w:rPr>
      </w:pPr>
    </w:p>
    <w:p w:rsidR="00D07577" w:rsidRDefault="00D07577">
      <w:pPr>
        <w:rPr>
          <w:rFonts w:asciiTheme="majorHAnsi" w:hAnsiTheme="majorHAnsi"/>
          <w:szCs w:val="22"/>
        </w:rPr>
      </w:pPr>
    </w:p>
    <w:p w:rsidR="00D07577" w:rsidRPr="00F85DFD" w:rsidRDefault="00D07577">
      <w:pPr>
        <w:rPr>
          <w:rFonts w:asciiTheme="majorHAnsi" w:hAnsiTheme="majorHAnsi"/>
          <w:szCs w:val="22"/>
        </w:rPr>
      </w:pPr>
    </w:p>
    <w:p w:rsidR="009A31BE" w:rsidRPr="00F85DFD" w:rsidRDefault="00EB4015">
      <w:pPr>
        <w:numPr>
          <w:ilvl w:val="1"/>
          <w:numId w:val="1"/>
        </w:numPr>
        <w:ind w:left="720" w:hanging="359"/>
        <w:contextualSpacing/>
        <w:rPr>
          <w:rFonts w:asciiTheme="majorHAnsi" w:hAnsiTheme="majorHAnsi"/>
          <w:szCs w:val="22"/>
        </w:rPr>
      </w:pPr>
      <w:r w:rsidRPr="00F85DFD">
        <w:rPr>
          <w:rFonts w:asciiTheme="majorHAnsi" w:hAnsiTheme="majorHAnsi"/>
          <w:szCs w:val="22"/>
        </w:rPr>
        <w:t xml:space="preserve">How would the addition of a cysteine </w:t>
      </w:r>
      <w:proofErr w:type="spellStart"/>
      <w:r w:rsidRPr="00F85DFD">
        <w:rPr>
          <w:rFonts w:asciiTheme="majorHAnsi" w:hAnsiTheme="majorHAnsi"/>
          <w:szCs w:val="22"/>
        </w:rPr>
        <w:t>thiolate</w:t>
      </w:r>
      <w:proofErr w:type="spellEnd"/>
      <w:r w:rsidRPr="00F85DFD">
        <w:rPr>
          <w:rFonts w:asciiTheme="majorHAnsi" w:hAnsiTheme="majorHAnsi"/>
          <w:szCs w:val="22"/>
        </w:rPr>
        <w:t xml:space="preserve"> change the redox potential of the </w:t>
      </w:r>
      <w:proofErr w:type="gramStart"/>
      <w:r w:rsidRPr="00F85DFD">
        <w:rPr>
          <w:rFonts w:asciiTheme="majorHAnsi" w:hAnsiTheme="majorHAnsi"/>
          <w:szCs w:val="22"/>
        </w:rPr>
        <w:t>Co(</w:t>
      </w:r>
      <w:proofErr w:type="gramEnd"/>
      <w:r w:rsidRPr="00F85DFD">
        <w:rPr>
          <w:rFonts w:asciiTheme="majorHAnsi" w:hAnsiTheme="majorHAnsi"/>
          <w:szCs w:val="22"/>
        </w:rPr>
        <w:t>II) metal center?</w:t>
      </w:r>
    </w:p>
    <w:p w:rsidR="009A31BE" w:rsidRPr="00F85DFD" w:rsidRDefault="009A31BE">
      <w:pPr>
        <w:rPr>
          <w:rFonts w:asciiTheme="majorHAnsi" w:hAnsiTheme="majorHAnsi"/>
          <w:szCs w:val="22"/>
        </w:rPr>
      </w:pPr>
    </w:p>
    <w:p w:rsidR="00F85DFD" w:rsidRPr="00F85DFD" w:rsidRDefault="00F85DFD">
      <w:pPr>
        <w:rPr>
          <w:rFonts w:asciiTheme="majorHAnsi" w:hAnsiTheme="majorHAnsi"/>
          <w:szCs w:val="22"/>
        </w:rPr>
      </w:pPr>
    </w:p>
    <w:sectPr w:rsidR="00F85DFD" w:rsidRPr="00F85DFD">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926" w:rsidRDefault="00F27926">
      <w:pPr>
        <w:spacing w:line="240" w:lineRule="auto"/>
      </w:pPr>
      <w:r>
        <w:separator/>
      </w:r>
    </w:p>
  </w:endnote>
  <w:endnote w:type="continuationSeparator" w:id="0">
    <w:p w:rsidR="00F27926" w:rsidRDefault="00F2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926" w:rsidRDefault="00F27926">
      <w:pPr>
        <w:spacing w:line="240" w:lineRule="auto"/>
      </w:pPr>
      <w:r>
        <w:separator/>
      </w:r>
    </w:p>
  </w:footnote>
  <w:footnote w:type="continuationSeparator" w:id="0">
    <w:p w:rsidR="00F27926" w:rsidRDefault="00F279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BE" w:rsidRDefault="00EB4015">
    <w:r>
      <w:rPr>
        <w:sz w:val="16"/>
      </w:rPr>
      <w:t xml:space="preserve">Created by Sibrina Collins, College of Wooster, </w:t>
    </w:r>
    <w:hyperlink r:id="rId1">
      <w:r>
        <w:rPr>
          <w:color w:val="1155CC"/>
          <w:sz w:val="16"/>
          <w:u w:val="single"/>
        </w:rPr>
        <w:t>scollins@wooster.edu</w:t>
      </w:r>
    </w:hyperlink>
    <w:r>
      <w:rPr>
        <w:sz w:val="16"/>
      </w:rPr>
      <w:t xml:space="preserve">; Robert Holbrook, Northwestern University, </w:t>
    </w:r>
    <w:hyperlink r:id="rId2">
      <w:r>
        <w:rPr>
          <w:color w:val="1155CC"/>
          <w:sz w:val="16"/>
          <w:u w:val="single"/>
        </w:rPr>
        <w:t>rjh779@u.northwestern.edu</w:t>
      </w:r>
    </w:hyperlink>
    <w:r>
      <w:rPr>
        <w:sz w:val="16"/>
      </w:rPr>
      <w:t xml:space="preserve">; Gerard Rowe, University of South Carolina-Aiken, </w:t>
    </w:r>
    <w:hyperlink r:id="rId3">
      <w:r>
        <w:rPr>
          <w:color w:val="1155CC"/>
          <w:sz w:val="16"/>
          <w:u w:val="single"/>
        </w:rPr>
        <w:t>gerardr@usca.edu</w:t>
      </w:r>
    </w:hyperlink>
    <w:r>
      <w:rPr>
        <w:sz w:val="16"/>
      </w:rPr>
      <w:t xml:space="preserve">; Arpita Saha, Georgia Southern University, </w:t>
    </w:r>
    <w:hyperlink r:id="rId4">
      <w:r>
        <w:rPr>
          <w:color w:val="1155CC"/>
          <w:sz w:val="16"/>
          <w:u w:val="single"/>
        </w:rPr>
        <w:t>asaha@georgiasouthern.edu</w:t>
      </w:r>
    </w:hyperlink>
    <w:r>
      <w:rPr>
        <w:sz w:val="16"/>
      </w:rPr>
      <w:t>; Nancy S. B. Williams,</w:t>
    </w:r>
    <w:r w:rsidR="00F85DFD">
      <w:rPr>
        <w:sz w:val="16"/>
      </w:rPr>
      <w:t xml:space="preserve"> </w:t>
    </w:r>
    <w:r>
      <w:rPr>
        <w:sz w:val="16"/>
      </w:rPr>
      <w:t xml:space="preserve">Claremont Colleges, </w:t>
    </w:r>
    <w:hyperlink r:id="rId5">
      <w:r>
        <w:rPr>
          <w:color w:val="1155CC"/>
          <w:sz w:val="16"/>
          <w:u w:val="single"/>
        </w:rPr>
        <w:t>nwilliams@kecksci.claremont.edu</w:t>
      </w:r>
    </w:hyperlink>
    <w:r>
      <w:rPr>
        <w:sz w:val="16"/>
      </w:rPr>
      <w:t xml:space="preserve">; Lei Yang, University of Central Arkansas, </w:t>
    </w:r>
    <w:hyperlink r:id="rId6">
      <w:r>
        <w:rPr>
          <w:color w:val="1155CC"/>
          <w:sz w:val="16"/>
          <w:u w:val="single"/>
        </w:rPr>
        <w:t>lyang@uca.edu</w:t>
      </w:r>
    </w:hyperlink>
    <w:r>
      <w:rPr>
        <w:sz w:val="16"/>
      </w:rPr>
      <w:t xml:space="preserve">; and Kari Young, Centre College, </w:t>
    </w:r>
    <w:hyperlink r:id="rId7">
      <w:r>
        <w:rPr>
          <w:color w:val="1155CC"/>
          <w:sz w:val="16"/>
          <w:u w:val="single"/>
        </w:rPr>
        <w:t>karin.young@centre.edu</w:t>
      </w:r>
    </w:hyperlink>
    <w:r>
      <w:rPr>
        <w:sz w:val="16"/>
      </w:rPr>
      <w:t xml:space="preserve"> and posted on </w:t>
    </w:r>
    <w:proofErr w:type="spellStart"/>
    <w:r>
      <w:rPr>
        <w:sz w:val="16"/>
      </w:rPr>
      <w:t>VIPEr</w:t>
    </w:r>
    <w:proofErr w:type="spellEnd"/>
    <w:r>
      <w:rPr>
        <w:sz w:val="16"/>
      </w:rPr>
      <w:t xml:space="preserve"> on July 17, 2014, Copyright Sibrina Collins, Robert Holbrook, Gerard Rowe, Arpita Saha, Nancy S. B. Williams, Lei Yang, and Kari Young. This work is licensed under the Creative Commons Attribution-</w:t>
    </w:r>
    <w:proofErr w:type="spellStart"/>
    <w:r>
      <w:rPr>
        <w:sz w:val="16"/>
      </w:rPr>
      <w:t>NonCommerical</w:t>
    </w:r>
    <w:proofErr w:type="spellEnd"/>
    <w:r>
      <w:rPr>
        <w:sz w:val="16"/>
      </w:rPr>
      <w:t>-</w:t>
    </w:r>
    <w:proofErr w:type="spellStart"/>
    <w:r>
      <w:rPr>
        <w:sz w:val="16"/>
      </w:rPr>
      <w:t>ShareAlike</w:t>
    </w:r>
    <w:proofErr w:type="spellEnd"/>
    <w:r>
      <w:rPr>
        <w:sz w:val="16"/>
      </w:rPr>
      <w:t xml:space="preserve"> 3.0 </w:t>
    </w:r>
    <w:proofErr w:type="spellStart"/>
    <w:r>
      <w:rPr>
        <w:sz w:val="16"/>
      </w:rPr>
      <w:t>Unported</w:t>
    </w:r>
    <w:proofErr w:type="spellEnd"/>
    <w:r>
      <w:rPr>
        <w:sz w:val="16"/>
      </w:rPr>
      <w:t xml:space="preserve"> License. To view a copy of this license visit</w:t>
    </w:r>
    <w:hyperlink r:id="rId8">
      <w:r>
        <w:rPr>
          <w:color w:val="1155CC"/>
          <w:sz w:val="16"/>
          <w:u w:val="single"/>
        </w:rPr>
        <w:t xml:space="preserve"> http://creativecommons.org/about/license/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7DFB"/>
    <w:multiLevelType w:val="multilevel"/>
    <w:tmpl w:val="B7223C5A"/>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FFB7996"/>
    <w:multiLevelType w:val="multilevel"/>
    <w:tmpl w:val="5F18AB0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0D01D4D"/>
    <w:multiLevelType w:val="multilevel"/>
    <w:tmpl w:val="8C40FBA2"/>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AA06289"/>
    <w:multiLevelType w:val="multilevel"/>
    <w:tmpl w:val="FAB6A1B0"/>
    <w:lvl w:ilvl="0">
      <w:start w:val="1"/>
      <w:numFmt w:val="decimal"/>
      <w:lvlText w:val="%1."/>
      <w:lvlJc w:val="left"/>
      <w:pPr>
        <w:ind w:left="720" w:firstLine="360"/>
      </w:pPr>
      <w:rPr>
        <w:u w:val="none"/>
      </w:rPr>
    </w:lvl>
    <w:lvl w:ilvl="1">
      <w:start w:val="2"/>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78081A2F"/>
    <w:multiLevelType w:val="multilevel"/>
    <w:tmpl w:val="72B85DF2"/>
    <w:lvl w:ilvl="0">
      <w:start w:val="1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31BE"/>
    <w:rsid w:val="001C10ED"/>
    <w:rsid w:val="001F7B49"/>
    <w:rsid w:val="009A31BE"/>
    <w:rsid w:val="00B8258E"/>
    <w:rsid w:val="00D07577"/>
    <w:rsid w:val="00D7439F"/>
    <w:rsid w:val="00DA742B"/>
    <w:rsid w:val="00E93904"/>
    <w:rsid w:val="00EB4015"/>
    <w:rsid w:val="00F27926"/>
    <w:rsid w:val="00F8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4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2B"/>
    <w:rPr>
      <w:rFonts w:ascii="Tahoma" w:hAnsi="Tahoma" w:cs="Tahoma"/>
      <w:sz w:val="16"/>
      <w:szCs w:val="16"/>
    </w:rPr>
  </w:style>
  <w:style w:type="paragraph" w:styleId="Header">
    <w:name w:val="header"/>
    <w:basedOn w:val="Normal"/>
    <w:link w:val="HeaderChar"/>
    <w:uiPriority w:val="99"/>
    <w:unhideWhenUsed/>
    <w:rsid w:val="00F85DFD"/>
    <w:pPr>
      <w:tabs>
        <w:tab w:val="center" w:pos="4680"/>
        <w:tab w:val="right" w:pos="9360"/>
      </w:tabs>
      <w:spacing w:line="240" w:lineRule="auto"/>
    </w:pPr>
  </w:style>
  <w:style w:type="character" w:customStyle="1" w:styleId="HeaderChar">
    <w:name w:val="Header Char"/>
    <w:basedOn w:val="DefaultParagraphFont"/>
    <w:link w:val="Header"/>
    <w:uiPriority w:val="99"/>
    <w:rsid w:val="00F85DFD"/>
  </w:style>
  <w:style w:type="paragraph" w:styleId="Footer">
    <w:name w:val="footer"/>
    <w:basedOn w:val="Normal"/>
    <w:link w:val="FooterChar"/>
    <w:uiPriority w:val="99"/>
    <w:unhideWhenUsed/>
    <w:rsid w:val="00F85DFD"/>
    <w:pPr>
      <w:tabs>
        <w:tab w:val="center" w:pos="4680"/>
        <w:tab w:val="right" w:pos="9360"/>
      </w:tabs>
      <w:spacing w:line="240" w:lineRule="auto"/>
    </w:pPr>
  </w:style>
  <w:style w:type="character" w:customStyle="1" w:styleId="FooterChar">
    <w:name w:val="Footer Char"/>
    <w:basedOn w:val="DefaultParagraphFont"/>
    <w:link w:val="Footer"/>
    <w:uiPriority w:val="99"/>
    <w:rsid w:val="00F85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74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2B"/>
    <w:rPr>
      <w:rFonts w:ascii="Tahoma" w:hAnsi="Tahoma" w:cs="Tahoma"/>
      <w:sz w:val="16"/>
      <w:szCs w:val="16"/>
    </w:rPr>
  </w:style>
  <w:style w:type="paragraph" w:styleId="Header">
    <w:name w:val="header"/>
    <w:basedOn w:val="Normal"/>
    <w:link w:val="HeaderChar"/>
    <w:uiPriority w:val="99"/>
    <w:unhideWhenUsed/>
    <w:rsid w:val="00F85DFD"/>
    <w:pPr>
      <w:tabs>
        <w:tab w:val="center" w:pos="4680"/>
        <w:tab w:val="right" w:pos="9360"/>
      </w:tabs>
      <w:spacing w:line="240" w:lineRule="auto"/>
    </w:pPr>
  </w:style>
  <w:style w:type="character" w:customStyle="1" w:styleId="HeaderChar">
    <w:name w:val="Header Char"/>
    <w:basedOn w:val="DefaultParagraphFont"/>
    <w:link w:val="Header"/>
    <w:uiPriority w:val="99"/>
    <w:rsid w:val="00F85DFD"/>
  </w:style>
  <w:style w:type="paragraph" w:styleId="Footer">
    <w:name w:val="footer"/>
    <w:basedOn w:val="Normal"/>
    <w:link w:val="FooterChar"/>
    <w:uiPriority w:val="99"/>
    <w:unhideWhenUsed/>
    <w:rsid w:val="00F85DFD"/>
    <w:pPr>
      <w:tabs>
        <w:tab w:val="center" w:pos="4680"/>
        <w:tab w:val="right" w:pos="9360"/>
      </w:tabs>
      <w:spacing w:line="240" w:lineRule="auto"/>
    </w:pPr>
  </w:style>
  <w:style w:type="character" w:customStyle="1" w:styleId="FooterChar">
    <w:name w:val="Footer Char"/>
    <w:basedOn w:val="DefaultParagraphFont"/>
    <w:link w:val="Footer"/>
    <w:uiPriority w:val="99"/>
    <w:rsid w:val="00F8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x.doi.org/10.1021/ic400171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hyperlink" Target="http://creativecommons.org/about/license/" TargetMode="External"/><Relationship Id="rId3" Type="http://schemas.openxmlformats.org/officeDocument/2006/relationships/hyperlink" Target="mailto:gerardr@usca.edu" TargetMode="External"/><Relationship Id="rId7" Type="http://schemas.openxmlformats.org/officeDocument/2006/relationships/hyperlink" Target="mailto:karin.young@centre.edu" TargetMode="External"/><Relationship Id="rId2" Type="http://schemas.openxmlformats.org/officeDocument/2006/relationships/hyperlink" Target="mailto:rjh779@u.northwestern.edu" TargetMode="External"/><Relationship Id="rId1" Type="http://schemas.openxmlformats.org/officeDocument/2006/relationships/hyperlink" Target="mailto:scollins@wooster.edu" TargetMode="External"/><Relationship Id="rId6" Type="http://schemas.openxmlformats.org/officeDocument/2006/relationships/hyperlink" Target="mailto:lyang@uca.edu" TargetMode="External"/><Relationship Id="rId5" Type="http://schemas.openxmlformats.org/officeDocument/2006/relationships/hyperlink" Target="mailto:nwilliams@kecksci.claremont.edu" TargetMode="External"/><Relationship Id="rId4" Type="http://schemas.openxmlformats.org/officeDocument/2006/relationships/hyperlink" Target="mailto:asaha@georgia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Key of Reading Guide for Jones Paper.docx</vt:lpstr>
    </vt:vector>
  </TitlesOfParts>
  <Company>Centre College</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of Reading Guide for Jones Paper.docx</dc:title>
  <dc:creator>Karin J. Young</dc:creator>
  <cp:lastModifiedBy>Kari Young</cp:lastModifiedBy>
  <cp:revision>4</cp:revision>
  <dcterms:created xsi:type="dcterms:W3CDTF">2014-07-18T14:11:00Z</dcterms:created>
  <dcterms:modified xsi:type="dcterms:W3CDTF">2014-07-18T15:07:00Z</dcterms:modified>
</cp:coreProperties>
</file>