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75A0" w:rsidRDefault="00E05CA8">
      <w:r>
        <w:t xml:space="preserve">Reading Guide for “Synthesis and Reactivity of </w:t>
      </w:r>
      <w:proofErr w:type="spellStart"/>
      <w:r>
        <w:t>Oxorhenium</w:t>
      </w:r>
      <w:proofErr w:type="spellEnd"/>
      <w:r>
        <w:t xml:space="preserve">(V) Methyl, Benzyl, and Phenyl Complexes with CO; Implications for a Unique Mechanism for Migratory Insertion,” Robbins, LK; Lilly, CP; </w:t>
      </w:r>
      <w:proofErr w:type="spellStart"/>
      <w:r>
        <w:t>Smeltz</w:t>
      </w:r>
      <w:proofErr w:type="spellEnd"/>
      <w:r>
        <w:t xml:space="preserve">, JL; Boyle, PD; </w:t>
      </w:r>
      <w:proofErr w:type="spellStart"/>
      <w:r>
        <w:t>Ison</w:t>
      </w:r>
      <w:proofErr w:type="spellEnd"/>
      <w:r>
        <w:t xml:space="preserve">, EA;, </w:t>
      </w:r>
      <w:r>
        <w:rPr>
          <w:i/>
        </w:rPr>
        <w:t>Organometallics</w:t>
      </w:r>
      <w:r>
        <w:t xml:space="preserve"> </w:t>
      </w:r>
      <w:r>
        <w:rPr>
          <w:b/>
        </w:rPr>
        <w:t>2015</w:t>
      </w:r>
      <w:r>
        <w:t xml:space="preserve">, </w:t>
      </w:r>
      <w:r>
        <w:rPr>
          <w:i/>
        </w:rPr>
        <w:t>34</w:t>
      </w:r>
      <w:r>
        <w:t>, 3152-3158.</w:t>
      </w:r>
    </w:p>
    <w:p w:rsidR="000F75A0" w:rsidRDefault="000F75A0"/>
    <w:p w:rsidR="000F75A0" w:rsidRDefault="00E05CA8">
      <w:r>
        <w:t>This reading guide focuses on the synthesis, characterization and kinetic studies of the title compounds.  The DFT studies are not emphasized. Be sure to refer to your textbook or other resources to answer any questions that arise as you read.  * Indicates more challenging questions that will require additional reading</w:t>
      </w:r>
      <w:r w:rsidR="00162F44">
        <w:t xml:space="preserve"> and thought</w:t>
      </w:r>
      <w:r>
        <w:t>.</w:t>
      </w:r>
    </w:p>
    <w:p w:rsidR="000F75A0" w:rsidRDefault="000F75A0"/>
    <w:p w:rsidR="000F75A0" w:rsidRDefault="00E05CA8">
      <w:pPr>
        <w:numPr>
          <w:ilvl w:val="0"/>
          <w:numId w:val="1"/>
        </w:numPr>
        <w:ind w:hanging="360"/>
        <w:contextualSpacing/>
      </w:pPr>
      <w:r>
        <w:t xml:space="preserve">Read the </w:t>
      </w:r>
      <w:r>
        <w:rPr>
          <w:b/>
        </w:rPr>
        <w:t>Introduction</w:t>
      </w:r>
      <w:r>
        <w:t xml:space="preserve">.  After reading this section, you should be able to </w:t>
      </w:r>
    </w:p>
    <w:p w:rsidR="000F75A0" w:rsidRDefault="00E05CA8">
      <w:pPr>
        <w:numPr>
          <w:ilvl w:val="1"/>
          <w:numId w:val="1"/>
        </w:numPr>
        <w:contextualSpacing/>
      </w:pPr>
      <w:r>
        <w:t>Describe the mechanism for forming C-C bonds in a migratory insertion</w:t>
      </w:r>
    </w:p>
    <w:p w:rsidR="000F75A0" w:rsidRDefault="00E05CA8">
      <w:pPr>
        <w:numPr>
          <w:ilvl w:val="1"/>
          <w:numId w:val="1"/>
        </w:numPr>
        <w:contextualSpacing/>
      </w:pPr>
      <w:r>
        <w:t xml:space="preserve">*Describe the experiments that were performed by </w:t>
      </w:r>
      <w:proofErr w:type="spellStart"/>
      <w:r>
        <w:t>Caldezarro</w:t>
      </w:r>
      <w:proofErr w:type="spellEnd"/>
      <w:r>
        <w:t xml:space="preserve"> and </w:t>
      </w:r>
      <w:proofErr w:type="spellStart"/>
      <w:r>
        <w:t>Wojcicki</w:t>
      </w:r>
      <w:proofErr w:type="spellEnd"/>
      <w:r>
        <w:t xml:space="preserve"> to determine the mechanisms.</w:t>
      </w:r>
    </w:p>
    <w:p w:rsidR="000F75A0" w:rsidRDefault="00E05CA8">
      <w:pPr>
        <w:numPr>
          <w:ilvl w:val="1"/>
          <w:numId w:val="1"/>
        </w:numPr>
        <w:contextualSpacing/>
      </w:pPr>
      <w:r>
        <w:t>Explain how “direct insertion” differs from the accepted mechanism (Scheme 1)</w:t>
      </w:r>
    </w:p>
    <w:p w:rsidR="000F75A0" w:rsidRDefault="00E05CA8">
      <w:pPr>
        <w:numPr>
          <w:ilvl w:val="0"/>
          <w:numId w:val="1"/>
        </w:numPr>
        <w:ind w:hanging="360"/>
        <w:contextualSpacing/>
      </w:pPr>
      <w:r>
        <w:t xml:space="preserve">Examine </w:t>
      </w:r>
      <w:r>
        <w:rPr>
          <w:b/>
        </w:rPr>
        <w:t xml:space="preserve">Figure 1 </w:t>
      </w:r>
      <w:r>
        <w:t xml:space="preserve">and read the corresponding description in the text under </w:t>
      </w:r>
      <w:r>
        <w:rPr>
          <w:b/>
        </w:rPr>
        <w:t>Scheme 2.</w:t>
      </w:r>
      <w:r>
        <w:t xml:space="preserve">  After reading this section, it should be clear that </w:t>
      </w:r>
      <w:r>
        <w:rPr>
          <w:b/>
        </w:rPr>
        <w:t>3a</w:t>
      </w:r>
      <w:r>
        <w:t xml:space="preserve"> is diamagnetic and the NMR is consistent with the proposed product.</w:t>
      </w:r>
    </w:p>
    <w:p w:rsidR="000F75A0" w:rsidRDefault="00E05CA8">
      <w:pPr>
        <w:numPr>
          <w:ilvl w:val="0"/>
          <w:numId w:val="1"/>
        </w:numPr>
        <w:ind w:hanging="360"/>
        <w:contextualSpacing/>
      </w:pPr>
      <w:r>
        <w:t xml:space="preserve">Examine </w:t>
      </w:r>
      <w:r>
        <w:rPr>
          <w:b/>
        </w:rPr>
        <w:t xml:space="preserve">Figures 2 </w:t>
      </w:r>
      <w:r>
        <w:t>and</w:t>
      </w:r>
      <w:r>
        <w:rPr>
          <w:b/>
        </w:rPr>
        <w:t xml:space="preserve"> 3</w:t>
      </w:r>
      <w:r>
        <w:t>.  Note the “distorted square pyramidal coordination environment.”</w:t>
      </w:r>
    </w:p>
    <w:p w:rsidR="000F75A0" w:rsidRDefault="00E05CA8">
      <w:pPr>
        <w:numPr>
          <w:ilvl w:val="0"/>
          <w:numId w:val="1"/>
        </w:numPr>
        <w:ind w:hanging="360"/>
        <w:contextualSpacing/>
      </w:pPr>
      <w:r>
        <w:t xml:space="preserve">Read </w:t>
      </w:r>
      <w:r>
        <w:rPr>
          <w:b/>
        </w:rPr>
        <w:t>Insertion Reactions with CO</w:t>
      </w:r>
      <w:r>
        <w:t xml:space="preserve"> (top of page 3154) and examine </w:t>
      </w:r>
      <w:r>
        <w:rPr>
          <w:b/>
        </w:rPr>
        <w:t>Scheme 3</w:t>
      </w:r>
      <w:r>
        <w:t>.</w:t>
      </w:r>
    </w:p>
    <w:p w:rsidR="000F75A0" w:rsidRDefault="00E05CA8">
      <w:pPr>
        <w:numPr>
          <w:ilvl w:val="1"/>
          <w:numId w:val="1"/>
        </w:numPr>
        <w:contextualSpacing/>
      </w:pPr>
      <w:r>
        <w:t>Note the pressure of CO used, the temperature and the time required for the reaction</w:t>
      </w:r>
      <w:r w:rsidR="00A720B5">
        <w:t>s</w:t>
      </w:r>
      <w:r>
        <w:t>.</w:t>
      </w:r>
    </w:p>
    <w:p w:rsidR="000F75A0" w:rsidRDefault="00E05CA8">
      <w:pPr>
        <w:numPr>
          <w:ilvl w:val="1"/>
          <w:numId w:val="1"/>
        </w:numPr>
        <w:contextualSpacing/>
      </w:pPr>
      <w:r>
        <w:t xml:space="preserve">*Complex </w:t>
      </w:r>
      <w:r>
        <w:rPr>
          <w:b/>
        </w:rPr>
        <w:t>2</w:t>
      </w:r>
      <w:r>
        <w:t xml:space="preserve"> [(</w:t>
      </w:r>
      <w:proofErr w:type="spellStart"/>
      <w:r>
        <w:t>DAAm</w:t>
      </w:r>
      <w:proofErr w:type="spellEnd"/>
      <w:proofErr w:type="gramStart"/>
      <w:r>
        <w:t>)Re</w:t>
      </w:r>
      <w:proofErr w:type="gramEnd"/>
      <w:r>
        <w:t>(O)C(O)CH</w:t>
      </w:r>
      <w:r>
        <w:rPr>
          <w:vertAlign w:val="subscript"/>
        </w:rPr>
        <w:t>3</w:t>
      </w:r>
      <w:r>
        <w:t>] is described in reference 5.  You should be able to describe how this complex compares to the one described in this work.</w:t>
      </w:r>
    </w:p>
    <w:p w:rsidR="00A720B5" w:rsidRDefault="00A720B5">
      <w:pPr>
        <w:numPr>
          <w:ilvl w:val="1"/>
          <w:numId w:val="1"/>
        </w:numPr>
        <w:contextualSpacing/>
      </w:pPr>
      <w:r>
        <w:t xml:space="preserve">Note how the </w:t>
      </w:r>
      <w:r w:rsidRPr="00A720B5">
        <w:rPr>
          <w:vertAlign w:val="superscript"/>
        </w:rPr>
        <w:t>1</w:t>
      </w:r>
      <w:r>
        <w:t>H NMR of the product (</w:t>
      </w:r>
      <w:r>
        <w:rPr>
          <w:b/>
        </w:rPr>
        <w:t>5a</w:t>
      </w:r>
      <w:r>
        <w:t>) changes.</w:t>
      </w:r>
    </w:p>
    <w:p w:rsidR="00173146" w:rsidRDefault="00173146">
      <w:pPr>
        <w:numPr>
          <w:ilvl w:val="1"/>
          <w:numId w:val="1"/>
        </w:numPr>
        <w:contextualSpacing/>
      </w:pPr>
      <w:r>
        <w:t>Note the CO stretching frequencies in the products (</w:t>
      </w:r>
      <w:r>
        <w:rPr>
          <w:b/>
        </w:rPr>
        <w:t>5a-d</w:t>
      </w:r>
      <w:r>
        <w:t>). Consider how these compare to free R-</w:t>
      </w:r>
      <w:proofErr w:type="gramStart"/>
      <w:r>
        <w:t>C(</w:t>
      </w:r>
      <w:proofErr w:type="gramEnd"/>
      <w:r>
        <w:t>=O)-R stretching frequencies and why the metal-acyl frequencies are different.</w:t>
      </w:r>
    </w:p>
    <w:p w:rsidR="000F75A0" w:rsidRDefault="00E05CA8">
      <w:pPr>
        <w:numPr>
          <w:ilvl w:val="0"/>
          <w:numId w:val="1"/>
        </w:numPr>
        <w:ind w:hanging="360"/>
        <w:contextualSpacing/>
      </w:pPr>
      <w:r>
        <w:t xml:space="preserve">Read </w:t>
      </w:r>
      <w:r>
        <w:rPr>
          <w:b/>
        </w:rPr>
        <w:t>Kinetics of Insertion Reactions</w:t>
      </w:r>
      <w:r>
        <w:t xml:space="preserve"> and examine </w:t>
      </w:r>
      <w:r>
        <w:rPr>
          <w:b/>
        </w:rPr>
        <w:t>Figure 5</w:t>
      </w:r>
      <w:r>
        <w:t>.</w:t>
      </w:r>
    </w:p>
    <w:p w:rsidR="000F75A0" w:rsidRDefault="00E05CA8">
      <w:pPr>
        <w:numPr>
          <w:ilvl w:val="1"/>
          <w:numId w:val="1"/>
        </w:numPr>
        <w:contextualSpacing/>
      </w:pPr>
      <w:r>
        <w:t>Note how the experiments were performed.  How do the authors convince you that the reactions were clean (no decomposition occurred and only one product was formed)</w:t>
      </w:r>
    </w:p>
    <w:p w:rsidR="000F75A0" w:rsidRDefault="00E05CA8">
      <w:pPr>
        <w:numPr>
          <w:ilvl w:val="1"/>
          <w:numId w:val="1"/>
        </w:numPr>
        <w:contextualSpacing/>
      </w:pPr>
      <w:r>
        <w:t>*Note the term “pseudo-first-order observed rate” and know what it means.</w:t>
      </w:r>
    </w:p>
    <w:p w:rsidR="000F75A0" w:rsidRDefault="00E05CA8">
      <w:pPr>
        <w:numPr>
          <w:ilvl w:val="0"/>
          <w:numId w:val="1"/>
        </w:numPr>
        <w:ind w:hanging="360"/>
        <w:contextualSpacing/>
      </w:pPr>
      <w:r>
        <w:t xml:space="preserve">Read </w:t>
      </w:r>
      <w:r>
        <w:rPr>
          <w:b/>
        </w:rPr>
        <w:t>Rate Law for CO Insertion</w:t>
      </w:r>
      <w:r>
        <w:t xml:space="preserve"> and examine </w:t>
      </w:r>
      <w:r>
        <w:rPr>
          <w:b/>
        </w:rPr>
        <w:t xml:space="preserve">Schemes 4 </w:t>
      </w:r>
      <w:r>
        <w:t xml:space="preserve">and </w:t>
      </w:r>
      <w:r>
        <w:rPr>
          <w:b/>
        </w:rPr>
        <w:t>5</w:t>
      </w:r>
      <w:r>
        <w:t xml:space="preserve">. </w:t>
      </w:r>
    </w:p>
    <w:p w:rsidR="000F75A0" w:rsidRDefault="00E05CA8">
      <w:pPr>
        <w:numPr>
          <w:ilvl w:val="1"/>
          <w:numId w:val="1"/>
        </w:numPr>
        <w:contextualSpacing/>
      </w:pPr>
      <w:r>
        <w:t>Note equations (1), (2), (4) and (8).</w:t>
      </w:r>
    </w:p>
    <w:p w:rsidR="000F75A0" w:rsidRDefault="00E05CA8" w:rsidP="00162F44">
      <w:pPr>
        <w:numPr>
          <w:ilvl w:val="0"/>
          <w:numId w:val="1"/>
        </w:numPr>
        <w:ind w:hanging="360"/>
        <w:contextualSpacing/>
      </w:pPr>
      <w:r>
        <w:t xml:space="preserve">Read </w:t>
      </w:r>
      <w:r>
        <w:rPr>
          <w:b/>
        </w:rPr>
        <w:t>Determination of Activation Parameters</w:t>
      </w:r>
      <w:r>
        <w:t>.</w:t>
      </w:r>
    </w:p>
    <w:p w:rsidR="000F75A0" w:rsidRDefault="00E05CA8">
      <w:pPr>
        <w:numPr>
          <w:ilvl w:val="1"/>
          <w:numId w:val="1"/>
        </w:numPr>
        <w:contextualSpacing/>
      </w:pPr>
      <w:r>
        <w:t xml:space="preserve">*Review </w:t>
      </w:r>
      <w:proofErr w:type="spellStart"/>
      <w:r>
        <w:t>Eyring</w:t>
      </w:r>
      <w:proofErr w:type="spellEnd"/>
      <w:r>
        <w:t xml:space="preserve"> plots; review how to find thermodynamics of activation from </w:t>
      </w:r>
      <w:proofErr w:type="spellStart"/>
      <w:r>
        <w:t>Eyring</w:t>
      </w:r>
      <w:proofErr w:type="spellEnd"/>
      <w:r>
        <w:t xml:space="preserve"> plots.</w:t>
      </w:r>
    </w:p>
    <w:p w:rsidR="000F75A0" w:rsidRDefault="00E05CA8">
      <w:pPr>
        <w:numPr>
          <w:ilvl w:val="1"/>
          <w:numId w:val="1"/>
        </w:numPr>
        <w:contextualSpacing/>
      </w:pPr>
      <w:r>
        <w:lastRenderedPageBreak/>
        <w:t>*Be able to explain how the entropy of activation relates to the nature of the transition state.</w:t>
      </w:r>
    </w:p>
    <w:p w:rsidR="00411585" w:rsidRDefault="00E05CA8" w:rsidP="00411585">
      <w:pPr>
        <w:numPr>
          <w:ilvl w:val="0"/>
          <w:numId w:val="1"/>
        </w:numPr>
        <w:ind w:hanging="360"/>
        <w:contextualSpacing/>
      </w:pPr>
      <w:r>
        <w:t xml:space="preserve">Read the </w:t>
      </w:r>
      <w:r>
        <w:rPr>
          <w:b/>
        </w:rPr>
        <w:t>Conclusions</w:t>
      </w:r>
      <w:r>
        <w:t xml:space="preserve">. </w:t>
      </w:r>
      <w:bookmarkStart w:id="0" w:name="_GoBack"/>
      <w:bookmarkEnd w:id="0"/>
    </w:p>
    <w:p w:rsidR="00411585" w:rsidRDefault="00411585" w:rsidP="00162F44">
      <w:pPr>
        <w:numPr>
          <w:ilvl w:val="1"/>
          <w:numId w:val="1"/>
        </w:numPr>
        <w:contextualSpacing/>
      </w:pPr>
      <w:r>
        <w:t xml:space="preserve">Note the </w:t>
      </w:r>
      <w:r w:rsidR="00162F44">
        <w:t>authors’</w:t>
      </w:r>
      <w:r>
        <w:t xml:space="preserve"> comments on the importance of the </w:t>
      </w:r>
      <w:proofErr w:type="spellStart"/>
      <w:r>
        <w:t>oxo</w:t>
      </w:r>
      <w:proofErr w:type="spellEnd"/>
      <w:r>
        <w:t xml:space="preserve"> ligand in determining the mechanism of the insertion reaction.</w:t>
      </w:r>
    </w:p>
    <w:sectPr w:rsidR="0041158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332" w:rsidRDefault="002E3332" w:rsidP="00733F48">
      <w:pPr>
        <w:spacing w:line="240" w:lineRule="auto"/>
      </w:pPr>
      <w:r>
        <w:separator/>
      </w:r>
    </w:p>
  </w:endnote>
  <w:endnote w:type="continuationSeparator" w:id="0">
    <w:p w:rsidR="002E3332" w:rsidRDefault="002E3332" w:rsidP="00733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332" w:rsidRDefault="002E3332" w:rsidP="00733F48">
      <w:pPr>
        <w:spacing w:line="240" w:lineRule="auto"/>
      </w:pPr>
      <w:r>
        <w:separator/>
      </w:r>
    </w:p>
  </w:footnote>
  <w:footnote w:type="continuationSeparator" w:id="0">
    <w:p w:rsidR="002E3332" w:rsidRDefault="002E3332" w:rsidP="00733F4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62" w:rsidRDefault="00EF4962">
    <w:pPr>
      <w:pStyle w:val="Header"/>
      <w:rPr>
        <w:sz w:val="20"/>
        <w:szCs w:val="20"/>
      </w:rPr>
    </w:pPr>
    <w:r>
      <w:rPr>
        <w:sz w:val="20"/>
        <w:szCs w:val="20"/>
      </w:rPr>
      <w:t>Created by Eugene Chong, University of Michigan (</w:t>
    </w:r>
    <w:hyperlink r:id="rId1">
      <w:r>
        <w:rPr>
          <w:color w:val="1155CC"/>
          <w:sz w:val="20"/>
          <w:szCs w:val="20"/>
          <w:u w:val="single"/>
        </w:rPr>
        <w:t>chongugn@umich.edu</w:t>
      </w:r>
    </w:hyperlink>
    <w:r>
      <w:rPr>
        <w:sz w:val="20"/>
        <w:szCs w:val="20"/>
      </w:rPr>
      <w:t xml:space="preserve">); Elon </w:t>
    </w:r>
    <w:proofErr w:type="spellStart"/>
    <w:r>
      <w:rPr>
        <w:sz w:val="20"/>
        <w:szCs w:val="20"/>
      </w:rPr>
      <w:t>Ison</w:t>
    </w:r>
    <w:proofErr w:type="spellEnd"/>
    <w:r>
      <w:rPr>
        <w:sz w:val="20"/>
        <w:szCs w:val="20"/>
      </w:rPr>
      <w:t>, North Carolina State University (</w:t>
    </w:r>
    <w:hyperlink r:id="rId2">
      <w:r>
        <w:rPr>
          <w:color w:val="1155CC"/>
          <w:sz w:val="20"/>
          <w:szCs w:val="20"/>
          <w:u w:val="single"/>
        </w:rPr>
        <w:t>eaison@ncsu.edu</w:t>
      </w:r>
    </w:hyperlink>
    <w:r>
      <w:rPr>
        <w:sz w:val="20"/>
        <w:szCs w:val="20"/>
      </w:rPr>
      <w:t>); Stephanie Poland, Rose-</w:t>
    </w:r>
    <w:proofErr w:type="spellStart"/>
    <w:r>
      <w:rPr>
        <w:sz w:val="20"/>
        <w:szCs w:val="20"/>
      </w:rPr>
      <w:t>Hulman</w:t>
    </w:r>
    <w:proofErr w:type="spellEnd"/>
    <w:r>
      <w:rPr>
        <w:sz w:val="20"/>
        <w:szCs w:val="20"/>
      </w:rPr>
      <w:t xml:space="preserve"> Institute of Technology (</w:t>
    </w:r>
    <w:hyperlink r:id="rId3">
      <w:r>
        <w:rPr>
          <w:color w:val="1155CC"/>
          <w:sz w:val="20"/>
          <w:szCs w:val="20"/>
          <w:u w:val="single"/>
        </w:rPr>
        <w:t>poland@rose-hulman.edu</w:t>
      </w:r>
    </w:hyperlink>
    <w:r>
      <w:rPr>
        <w:sz w:val="20"/>
        <w:szCs w:val="20"/>
      </w:rPr>
      <w:t>);  Matthew Riehl, Bethany Lutheran College (</w:t>
    </w:r>
    <w:hyperlink r:id="rId4">
      <w:r>
        <w:rPr>
          <w:color w:val="1155CC"/>
          <w:sz w:val="20"/>
          <w:szCs w:val="20"/>
          <w:u w:val="single"/>
        </w:rPr>
        <w:t>matthew.riehl@blc.edu</w:t>
      </w:r>
    </w:hyperlink>
    <w:r>
      <w:rPr>
        <w:sz w:val="20"/>
        <w:szCs w:val="20"/>
      </w:rPr>
      <w:t xml:space="preserve">); Murielle </w:t>
    </w:r>
    <w:proofErr w:type="spellStart"/>
    <w:r>
      <w:rPr>
        <w:sz w:val="20"/>
        <w:szCs w:val="20"/>
      </w:rPr>
      <w:t>Watzky</w:t>
    </w:r>
    <w:proofErr w:type="spellEnd"/>
    <w:r>
      <w:rPr>
        <w:sz w:val="20"/>
        <w:szCs w:val="20"/>
      </w:rPr>
      <w:t>, University of Northern Colorado (</w:t>
    </w:r>
    <w:hyperlink r:id="rId5">
      <w:r>
        <w:rPr>
          <w:color w:val="1155CC"/>
          <w:sz w:val="20"/>
          <w:szCs w:val="20"/>
          <w:u w:val="single"/>
        </w:rPr>
        <w:t>murielle.watzky@unco.edu</w:t>
      </w:r>
    </w:hyperlink>
    <w:r>
      <w:rPr>
        <w:sz w:val="20"/>
        <w:szCs w:val="20"/>
      </w:rPr>
      <w:t>); Carmen Works, Sonoma State University (</w:t>
    </w:r>
    <w:hyperlink r:id="rId6">
      <w:r>
        <w:rPr>
          <w:color w:val="1155CC"/>
          <w:sz w:val="20"/>
          <w:szCs w:val="20"/>
          <w:u w:val="single"/>
        </w:rPr>
        <w:t>works@sonoma.edu</w:t>
      </w:r>
    </w:hyperlink>
    <w:r>
      <w:rPr>
        <w:sz w:val="20"/>
        <w:szCs w:val="20"/>
      </w:rPr>
      <w:t xml:space="preserve">); posted on </w:t>
    </w:r>
    <w:proofErr w:type="spellStart"/>
    <w:r>
      <w:rPr>
        <w:sz w:val="20"/>
        <w:szCs w:val="20"/>
      </w:rPr>
      <w:t>VIPEr</w:t>
    </w:r>
    <w:proofErr w:type="spellEnd"/>
    <w:r>
      <w:rPr>
        <w:sz w:val="20"/>
        <w:szCs w:val="20"/>
      </w:rPr>
      <w:t xml:space="preserve"> (</w:t>
    </w:r>
    <w:hyperlink r:id="rId7">
      <w:r>
        <w:rPr>
          <w:sz w:val="20"/>
          <w:szCs w:val="20"/>
          <w:u w:val="single"/>
        </w:rPr>
        <w:t>www.ionicviper.org</w:t>
      </w:r>
    </w:hyperlink>
    <w:r>
      <w:rPr>
        <w:sz w:val="20"/>
        <w:szCs w:val="20"/>
      </w:rPr>
      <w:t xml:space="preserve">) on June 30, 2016.  Copyright Eugene Chong, Elon </w:t>
    </w:r>
    <w:proofErr w:type="spellStart"/>
    <w:r>
      <w:rPr>
        <w:sz w:val="20"/>
        <w:szCs w:val="20"/>
      </w:rPr>
      <w:t>Ison</w:t>
    </w:r>
    <w:proofErr w:type="spellEnd"/>
    <w:r>
      <w:rPr>
        <w:sz w:val="20"/>
        <w:szCs w:val="20"/>
      </w:rPr>
      <w:t xml:space="preserve">, Stephanie Poland, Matthew Riehl, Murielle </w:t>
    </w:r>
    <w:proofErr w:type="spellStart"/>
    <w:r>
      <w:rPr>
        <w:sz w:val="20"/>
        <w:szCs w:val="20"/>
      </w:rPr>
      <w:t>Watzky</w:t>
    </w:r>
    <w:proofErr w:type="spellEnd"/>
    <w:r>
      <w:rPr>
        <w:sz w:val="20"/>
        <w:szCs w:val="20"/>
      </w:rPr>
      <w:t>, Carmen Works (2016).  This work is licensed under the Creative Commons Attribution-</w:t>
    </w:r>
    <w:proofErr w:type="spellStart"/>
    <w:r>
      <w:rPr>
        <w:sz w:val="20"/>
        <w:szCs w:val="20"/>
      </w:rPr>
      <w:t>NonCommerical</w:t>
    </w:r>
    <w:proofErr w:type="spellEnd"/>
    <w:r>
      <w:rPr>
        <w:sz w:val="20"/>
        <w:szCs w:val="20"/>
      </w:rPr>
      <w:t>-</w:t>
    </w:r>
    <w:proofErr w:type="spellStart"/>
    <w:r>
      <w:rPr>
        <w:sz w:val="20"/>
        <w:szCs w:val="20"/>
      </w:rPr>
      <w:t>ShareAlike</w:t>
    </w:r>
    <w:proofErr w:type="spellEnd"/>
    <w:r>
      <w:rPr>
        <w:sz w:val="20"/>
        <w:szCs w:val="20"/>
      </w:rPr>
      <w:t xml:space="preserve"> 4.0 License. To view a copy of this license visit</w:t>
    </w:r>
    <w:hyperlink r:id="rId8">
      <w:r>
        <w:rPr>
          <w:sz w:val="20"/>
          <w:szCs w:val="20"/>
          <w:u w:val="single"/>
        </w:rPr>
        <w:t xml:space="preserve"> http://creativecommons.org/about/license/</w:t>
      </w:r>
    </w:hyperlink>
    <w:r>
      <w:rPr>
        <w:sz w:val="20"/>
        <w:szCs w:val="20"/>
      </w:rPr>
      <w:t>.</w:t>
    </w:r>
  </w:p>
  <w:p w:rsidR="00EF4962" w:rsidRDefault="00EF49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04D4C"/>
    <w:multiLevelType w:val="multilevel"/>
    <w:tmpl w:val="31A259C2"/>
    <w:lvl w:ilvl="0">
      <w:start w:val="1"/>
      <w:numFmt w:val="decimal"/>
      <w:lvlText w:val="%1."/>
      <w:lvlJc w:val="left"/>
      <w:pPr>
        <w:ind w:left="720" w:firstLine="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firstLine="1800"/>
      </w:pPr>
      <w:rPr>
        <w:rFonts w:hint="default"/>
        <w:u w:val="none"/>
      </w:rPr>
    </w:lvl>
    <w:lvl w:ilvl="3">
      <w:start w:val="1"/>
      <w:numFmt w:val="decimal"/>
      <w:lvlText w:val="%4."/>
      <w:lvlJc w:val="left"/>
      <w:pPr>
        <w:ind w:left="2880" w:firstLine="2520"/>
      </w:pPr>
      <w:rPr>
        <w:rFonts w:hint="default"/>
        <w:u w:val="none"/>
      </w:rPr>
    </w:lvl>
    <w:lvl w:ilvl="4">
      <w:start w:val="1"/>
      <w:numFmt w:val="lowerLetter"/>
      <w:lvlText w:val="%5."/>
      <w:lvlJc w:val="left"/>
      <w:pPr>
        <w:ind w:left="3600" w:firstLine="3240"/>
      </w:pPr>
      <w:rPr>
        <w:rFonts w:hint="default"/>
        <w:u w:val="none"/>
      </w:rPr>
    </w:lvl>
    <w:lvl w:ilvl="5">
      <w:start w:val="1"/>
      <w:numFmt w:val="lowerRoman"/>
      <w:lvlText w:val="%6."/>
      <w:lvlJc w:val="right"/>
      <w:pPr>
        <w:ind w:left="4320" w:firstLine="3960"/>
      </w:pPr>
      <w:rPr>
        <w:rFonts w:hint="default"/>
        <w:u w:val="none"/>
      </w:rPr>
    </w:lvl>
    <w:lvl w:ilvl="6">
      <w:start w:val="1"/>
      <w:numFmt w:val="decimal"/>
      <w:lvlText w:val="%7."/>
      <w:lvlJc w:val="left"/>
      <w:pPr>
        <w:ind w:left="5040" w:firstLine="4680"/>
      </w:pPr>
      <w:rPr>
        <w:rFonts w:hint="default"/>
        <w:u w:val="none"/>
      </w:rPr>
    </w:lvl>
    <w:lvl w:ilvl="7">
      <w:start w:val="1"/>
      <w:numFmt w:val="lowerLetter"/>
      <w:lvlText w:val="%8."/>
      <w:lvlJc w:val="left"/>
      <w:pPr>
        <w:ind w:left="5760" w:firstLine="5400"/>
      </w:pPr>
      <w:rPr>
        <w:rFonts w:hint="default"/>
        <w:u w:val="none"/>
      </w:rPr>
    </w:lvl>
    <w:lvl w:ilvl="8">
      <w:start w:val="1"/>
      <w:numFmt w:val="lowerRoman"/>
      <w:lvlText w:val="%9."/>
      <w:lvlJc w:val="right"/>
      <w:pPr>
        <w:ind w:left="6480" w:firstLine="6120"/>
      </w:pPr>
      <w:rPr>
        <w:rFonts w:hint="default"/>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A0"/>
    <w:rsid w:val="000F75A0"/>
    <w:rsid w:val="00162F44"/>
    <w:rsid w:val="00173146"/>
    <w:rsid w:val="002E3332"/>
    <w:rsid w:val="00411585"/>
    <w:rsid w:val="00733F48"/>
    <w:rsid w:val="00A720B5"/>
    <w:rsid w:val="00DC48EE"/>
    <w:rsid w:val="00E05CA8"/>
    <w:rsid w:val="00EF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32D8F-2A33-465C-AFB0-6B008857B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733F48"/>
    <w:pPr>
      <w:tabs>
        <w:tab w:val="center" w:pos="4680"/>
        <w:tab w:val="right" w:pos="9360"/>
      </w:tabs>
      <w:spacing w:line="240" w:lineRule="auto"/>
    </w:pPr>
  </w:style>
  <w:style w:type="character" w:customStyle="1" w:styleId="HeaderChar">
    <w:name w:val="Header Char"/>
    <w:basedOn w:val="DefaultParagraphFont"/>
    <w:link w:val="Header"/>
    <w:uiPriority w:val="99"/>
    <w:rsid w:val="00733F48"/>
  </w:style>
  <w:style w:type="paragraph" w:styleId="Footer">
    <w:name w:val="footer"/>
    <w:basedOn w:val="Normal"/>
    <w:link w:val="FooterChar"/>
    <w:uiPriority w:val="99"/>
    <w:unhideWhenUsed/>
    <w:rsid w:val="00733F48"/>
    <w:pPr>
      <w:tabs>
        <w:tab w:val="center" w:pos="4680"/>
        <w:tab w:val="right" w:pos="9360"/>
      </w:tabs>
      <w:spacing w:line="240" w:lineRule="auto"/>
    </w:pPr>
  </w:style>
  <w:style w:type="character" w:customStyle="1" w:styleId="FooterChar">
    <w:name w:val="Footer Char"/>
    <w:basedOn w:val="DefaultParagraphFont"/>
    <w:link w:val="Footer"/>
    <w:uiPriority w:val="99"/>
    <w:rsid w:val="00733F48"/>
  </w:style>
  <w:style w:type="character" w:styleId="Hyperlink">
    <w:name w:val="Hyperlink"/>
    <w:basedOn w:val="DefaultParagraphFont"/>
    <w:uiPriority w:val="99"/>
    <w:unhideWhenUsed/>
    <w:rsid w:val="00733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hyperlink" Target="http://creativecommons.org/about/license/" TargetMode="External"/><Relationship Id="rId3" Type="http://schemas.openxmlformats.org/officeDocument/2006/relationships/hyperlink" Target="mailto:poland@rose-hulman.edu" TargetMode="External"/><Relationship Id="rId7" Type="http://schemas.openxmlformats.org/officeDocument/2006/relationships/hyperlink" Target="http://www.ionicviper.org/" TargetMode="External"/><Relationship Id="rId2" Type="http://schemas.openxmlformats.org/officeDocument/2006/relationships/hyperlink" Target="mailto:eaison@ncsu.edu" TargetMode="External"/><Relationship Id="rId1" Type="http://schemas.openxmlformats.org/officeDocument/2006/relationships/hyperlink" Target="mailto:chongugn@umich.edu" TargetMode="External"/><Relationship Id="rId6" Type="http://schemas.openxmlformats.org/officeDocument/2006/relationships/hyperlink" Target="mailto:works@sonoma.edu" TargetMode="External"/><Relationship Id="rId5" Type="http://schemas.openxmlformats.org/officeDocument/2006/relationships/hyperlink" Target="mailto:murielle.watzky@unco.edu" TargetMode="External"/><Relationship Id="rId4" Type="http://schemas.openxmlformats.org/officeDocument/2006/relationships/hyperlink" Target="mailto:matthew.riehl@bl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Riehl, Matthew</cp:lastModifiedBy>
  <cp:revision>8</cp:revision>
  <dcterms:created xsi:type="dcterms:W3CDTF">2016-06-30T17:47:00Z</dcterms:created>
  <dcterms:modified xsi:type="dcterms:W3CDTF">2016-06-30T20:31:00Z</dcterms:modified>
</cp:coreProperties>
</file>