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A4" w:rsidRDefault="00220F06" w:rsidP="00C97AA4">
      <w:pPr>
        <w:spacing w:line="240" w:lineRule="auto"/>
        <w:ind w:left="360"/>
        <w:jc w:val="center"/>
        <w:rPr>
          <w:b/>
        </w:rPr>
      </w:pPr>
      <w:r w:rsidRPr="00F97567">
        <w:rPr>
          <w:b/>
        </w:rPr>
        <w:t>Synthesis and Analysis of Ammonium Decavanadate, (NH</w:t>
      </w:r>
      <w:r w:rsidRPr="00F97567">
        <w:rPr>
          <w:b/>
          <w:vertAlign w:val="subscript"/>
        </w:rPr>
        <w:t>4</w:t>
      </w:r>
      <w:r w:rsidRPr="00F97567">
        <w:rPr>
          <w:b/>
        </w:rPr>
        <w:t>)</w:t>
      </w:r>
      <w:r w:rsidRPr="00F97567">
        <w:rPr>
          <w:b/>
          <w:vertAlign w:val="subscript"/>
        </w:rPr>
        <w:t>6</w:t>
      </w:r>
      <w:r w:rsidRPr="00F97567">
        <w:rPr>
          <w:b/>
        </w:rPr>
        <w:t>V</w:t>
      </w:r>
      <w:r w:rsidRPr="00F97567">
        <w:rPr>
          <w:b/>
          <w:vertAlign w:val="subscript"/>
        </w:rPr>
        <w:t>10</w:t>
      </w:r>
      <w:r w:rsidRPr="00F97567">
        <w:rPr>
          <w:b/>
        </w:rPr>
        <w:t>O</w:t>
      </w:r>
      <w:r w:rsidRPr="00F97567">
        <w:rPr>
          <w:b/>
          <w:vertAlign w:val="subscript"/>
        </w:rPr>
        <w:t>28</w:t>
      </w:r>
      <w:r w:rsidRPr="00F97567">
        <w:rPr>
          <w:b/>
        </w:rPr>
        <w:t>•6H</w:t>
      </w:r>
      <w:r w:rsidRPr="00F97567">
        <w:rPr>
          <w:b/>
          <w:vertAlign w:val="subscript"/>
        </w:rPr>
        <w:t>2</w:t>
      </w:r>
      <w:r w:rsidRPr="00F97567">
        <w:rPr>
          <w:b/>
        </w:rPr>
        <w:t>O</w:t>
      </w:r>
    </w:p>
    <w:p w:rsidR="00F97567" w:rsidRPr="00F97567" w:rsidRDefault="00FF016C" w:rsidP="00C97AA4">
      <w:pPr>
        <w:spacing w:after="0" w:line="240" w:lineRule="auto"/>
        <w:ind w:left="360"/>
        <w:jc w:val="center"/>
        <w:rPr>
          <w:b/>
        </w:rPr>
      </w:pPr>
    </w:p>
    <w:p w:rsidR="00F4773A" w:rsidRPr="00525386" w:rsidRDefault="00220F06" w:rsidP="00900950">
      <w:pPr>
        <w:spacing w:after="0" w:line="276" w:lineRule="auto"/>
        <w:rPr>
          <w:b/>
        </w:rPr>
      </w:pPr>
      <w:r w:rsidRPr="00525386">
        <w:rPr>
          <w:b/>
        </w:rPr>
        <w:t>Introduction</w:t>
      </w:r>
    </w:p>
    <w:p w:rsidR="00F4773A" w:rsidRDefault="00220F06" w:rsidP="00900950">
      <w:pPr>
        <w:spacing w:after="0" w:line="276" w:lineRule="auto"/>
      </w:pPr>
      <w:r>
        <w:tab/>
        <w:t>Ammonium decavanadate ((NH</w:t>
      </w:r>
      <w:r w:rsidRPr="00A80CF8">
        <w:rPr>
          <w:vertAlign w:val="subscript"/>
        </w:rPr>
        <w:t>4</w:t>
      </w:r>
      <w:r>
        <w:t>)</w:t>
      </w:r>
      <w:r w:rsidRPr="00A80CF8">
        <w:rPr>
          <w:vertAlign w:val="subscript"/>
        </w:rPr>
        <w:t>6</w:t>
      </w:r>
      <w:r>
        <w:t>V</w:t>
      </w:r>
      <w:r w:rsidRPr="00A80CF8">
        <w:rPr>
          <w:vertAlign w:val="subscript"/>
        </w:rPr>
        <w:t>10</w:t>
      </w:r>
      <w:r>
        <w:t>O</w:t>
      </w:r>
      <w:r w:rsidRPr="00A80CF8">
        <w:rPr>
          <w:vertAlign w:val="subscript"/>
        </w:rPr>
        <w:t>28</w:t>
      </w:r>
      <w:r>
        <w:t>•6H</w:t>
      </w:r>
      <w:r w:rsidRPr="00A80CF8">
        <w:rPr>
          <w:vertAlign w:val="subscript"/>
        </w:rPr>
        <w:t>2</w:t>
      </w:r>
      <w:r>
        <w:t>O) is an example of a polyoxometallate (POM). POMs are a large and diverse group, containing various metal cations, including, but not limited to, vanadium, molybdenum, chromium and iron. They are formed spontaneously in solution through what is called ‘self-assembly’. Essentially, they come together in solution through unknown mechanisms. In the lab, we can isolate various POMs by controlling conditions to favor one form over another, by varying concentration, pH or counter-ion. In the phase diagram of vanadates (Figure 1), one can see how varying pH and vanadium concentration can yield monomeric vanadate (VO</w:t>
      </w:r>
      <w:r w:rsidRPr="006510C6">
        <w:rPr>
          <w:vertAlign w:val="subscript"/>
        </w:rPr>
        <w:t>4</w:t>
      </w:r>
      <w:r w:rsidRPr="006510C6">
        <w:rPr>
          <w:vertAlign w:val="superscript"/>
        </w:rPr>
        <w:t>3-</w:t>
      </w:r>
      <w:r>
        <w:t>), or POMs containing 2-10 vanadium atoms.</w:t>
      </w:r>
    </w:p>
    <w:p w:rsidR="000B65B7" w:rsidRDefault="00FF016C" w:rsidP="006510C6">
      <w:pPr>
        <w:spacing w:after="0" w:line="240" w:lineRule="auto"/>
      </w:pPr>
    </w:p>
    <w:p w:rsidR="000B65B7" w:rsidRDefault="008C12E4" w:rsidP="006510C6">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48260</wp:posOffset>
                </wp:positionV>
                <wp:extent cx="4000500" cy="2276475"/>
                <wp:effectExtent l="9525" t="9525" r="9525" b="38100"/>
                <wp:wrapTight wrapText="bothSides">
                  <wp:wrapPolygon edited="0">
                    <wp:start x="-154" y="-121"/>
                    <wp:lineTo x="-206" y="241"/>
                    <wp:lineTo x="-206" y="22437"/>
                    <wp:lineTo x="21909" y="22437"/>
                    <wp:lineTo x="21960" y="837"/>
                    <wp:lineTo x="21857" y="0"/>
                    <wp:lineTo x="21703" y="-121"/>
                    <wp:lineTo x="-154" y="-121"/>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76475"/>
                        </a:xfrm>
                        <a:prstGeom prst="rect">
                          <a:avLst/>
                        </a:prstGeom>
                        <a:solidFill>
                          <a:schemeClr val="bg1">
                            <a:lumMod val="100000"/>
                            <a:lumOff val="0"/>
                          </a:schemeClr>
                        </a:solidFill>
                        <a:ln w="19050">
                          <a:solidFill>
                            <a:schemeClr val="accent1">
                              <a:lumMod val="100000"/>
                              <a:lumOff val="0"/>
                            </a:schemeClr>
                          </a:solidFill>
                          <a:miter lim="800000"/>
                          <a:headEnd/>
                          <a:tailEnd/>
                        </a:ln>
                        <a:effectLst>
                          <a:outerShdw dist="25400" dir="5400000" algn="ctr" rotWithShape="0">
                            <a:srgbClr val="808080">
                              <a:alpha val="35001"/>
                            </a:srgbClr>
                          </a:outerShdw>
                        </a:effectLst>
                      </wps:spPr>
                      <wps:txbx>
                        <w:txbxContent>
                          <w:p w:rsidR="0079512D" w:rsidRDefault="00220F06">
                            <w:r>
                              <w:t>Removed for copyright compliance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3.8pt;width:315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" fillcolor="white [3212]" strokecolor="#4f81bd [3204]" strokeweight="1.5pt">
                <v:shadow on="t" opacity="22938f" offset="0"/>
                <v:textbox inset=",7.2pt,,7.2pt">
                  <w:txbxContent>
                    <w:p w:rsidR="0079512D" w:rsidRDefault="00220F06">
                      <w:r>
                        <w:t>Removed for copyright compliance</w:t>
                      </w:r>
                    </w:p>
                  </w:txbxContent>
                </v:textbox>
                <w10:wrap type="tight"/>
              </v:rect>
            </w:pict>
          </mc:Fallback>
        </mc:AlternateContent>
      </w:r>
    </w:p>
    <w:p w:rsidR="000B65B7" w:rsidRDefault="00FF016C" w:rsidP="006510C6">
      <w:pPr>
        <w:spacing w:after="0" w:line="240" w:lineRule="auto"/>
      </w:pPr>
    </w:p>
    <w:p w:rsidR="000B65B7" w:rsidRDefault="00FF016C" w:rsidP="006510C6">
      <w:pPr>
        <w:spacing w:after="0" w:line="240" w:lineRule="auto"/>
      </w:pPr>
    </w:p>
    <w:p w:rsidR="000B65B7" w:rsidRDefault="00FF016C" w:rsidP="006510C6">
      <w:pPr>
        <w:spacing w:after="0" w:line="240" w:lineRule="auto"/>
      </w:pPr>
    </w:p>
    <w:p w:rsidR="000B65B7" w:rsidRDefault="00FF016C" w:rsidP="006510C6">
      <w:pPr>
        <w:spacing w:after="0" w:line="240" w:lineRule="auto"/>
      </w:pPr>
    </w:p>
    <w:p w:rsidR="000B65B7" w:rsidRDefault="00FF016C" w:rsidP="006510C6">
      <w:pPr>
        <w:spacing w:after="0" w:line="240" w:lineRule="auto"/>
      </w:pPr>
    </w:p>
    <w:p w:rsidR="000B65B7" w:rsidRDefault="00FF016C" w:rsidP="006510C6">
      <w:pPr>
        <w:spacing w:after="0" w:line="240" w:lineRule="auto"/>
      </w:pPr>
    </w:p>
    <w:p w:rsidR="000B65B7" w:rsidRDefault="00FF016C" w:rsidP="006510C6">
      <w:pPr>
        <w:spacing w:after="0" w:line="240" w:lineRule="auto"/>
      </w:pPr>
    </w:p>
    <w:p w:rsidR="000B65B7" w:rsidRDefault="00FF016C" w:rsidP="006510C6">
      <w:pPr>
        <w:spacing w:after="0" w:line="240" w:lineRule="auto"/>
      </w:pPr>
    </w:p>
    <w:p w:rsidR="000B65B7" w:rsidRDefault="00FF016C" w:rsidP="006510C6">
      <w:pPr>
        <w:spacing w:after="0" w:line="240" w:lineRule="auto"/>
      </w:pPr>
    </w:p>
    <w:p w:rsidR="0079512D" w:rsidRDefault="00FF016C" w:rsidP="006510C6">
      <w:pPr>
        <w:spacing w:after="0" w:line="240" w:lineRule="auto"/>
      </w:pPr>
    </w:p>
    <w:p w:rsidR="0079512D" w:rsidRDefault="00FF016C" w:rsidP="006510C6">
      <w:pPr>
        <w:spacing w:after="0" w:line="240" w:lineRule="auto"/>
      </w:pPr>
    </w:p>
    <w:p w:rsidR="0079512D" w:rsidRDefault="00FF016C" w:rsidP="006510C6">
      <w:pPr>
        <w:spacing w:after="0" w:line="240" w:lineRule="auto"/>
      </w:pPr>
    </w:p>
    <w:p w:rsidR="0079512D" w:rsidRDefault="00FF016C" w:rsidP="006510C6">
      <w:pPr>
        <w:spacing w:after="0" w:line="240" w:lineRule="auto"/>
      </w:pPr>
    </w:p>
    <w:p w:rsidR="00F4773A" w:rsidRDefault="00F4773A" w:rsidP="006510C6">
      <w:pPr>
        <w:spacing w:after="0" w:line="240" w:lineRule="auto"/>
      </w:pPr>
    </w:p>
    <w:p w:rsidR="00F4773A" w:rsidRDefault="00220F06" w:rsidP="006510C6">
      <w:pPr>
        <w:spacing w:after="0" w:line="240" w:lineRule="auto"/>
      </w:pPr>
      <w:r>
        <w:t xml:space="preserve">Figure 1. Concentration/pH phase diagram for vanadium POMs (from J.W. Larson, </w:t>
      </w:r>
      <w:r w:rsidRPr="006510C6">
        <w:rPr>
          <w:i/>
        </w:rPr>
        <w:t>J. Chem. Eng. Data</w:t>
      </w:r>
      <w:r>
        <w:t xml:space="preserve"> </w:t>
      </w:r>
      <w:r w:rsidRPr="006510C6">
        <w:rPr>
          <w:b/>
        </w:rPr>
        <w:t>1995</w:t>
      </w:r>
      <w:r>
        <w:t xml:space="preserve">, </w:t>
      </w:r>
      <w:r w:rsidRPr="006510C6">
        <w:rPr>
          <w:i/>
        </w:rPr>
        <w:t>40</w:t>
      </w:r>
      <w:r>
        <w:t xml:space="preserve">, 1276, </w:t>
      </w:r>
      <w:r>
        <w:rPr>
          <w:rStyle w:val="Strong"/>
        </w:rPr>
        <w:t xml:space="preserve">DOI: </w:t>
      </w:r>
      <w:r>
        <w:t>10.1021/je00022a030).</w:t>
      </w:r>
    </w:p>
    <w:p w:rsidR="006510C6" w:rsidRDefault="00FF016C" w:rsidP="006510C6">
      <w:pPr>
        <w:spacing w:after="0" w:line="240" w:lineRule="auto"/>
      </w:pPr>
    </w:p>
    <w:p w:rsidR="00A53255" w:rsidRDefault="00220F06" w:rsidP="00AD3717">
      <w:pPr>
        <w:spacing w:after="0" w:line="240" w:lineRule="auto"/>
        <w:rPr>
          <w:i/>
        </w:rPr>
      </w:pPr>
      <w:r>
        <w:rPr>
          <w:i/>
        </w:rPr>
        <w:t>Shape of the Decavanadate Anion</w:t>
      </w:r>
    </w:p>
    <w:p w:rsidR="00A53255" w:rsidRDefault="00220F06" w:rsidP="00AD3717">
      <w:pPr>
        <w:spacing w:after="0" w:line="276" w:lineRule="auto"/>
      </w:pPr>
      <w:r>
        <w:tab/>
        <w:t>The decavanadate anion consists of ten edge-sharing (V,O) octahedra, as shown in Figure 2. Each V</w:t>
      </w:r>
      <w:r w:rsidRPr="006B07E9">
        <w:rPr>
          <w:vertAlign w:val="superscript"/>
        </w:rPr>
        <w:t>+5</w:t>
      </w:r>
      <w:r>
        <w:t xml:space="preserve"> is surrounded by six oxides in an octahedral shape. Overall, one can see three two-fold rotational symmetries at each of the Cartesian directions, producing an idealized overall symmetry (D</w:t>
      </w:r>
      <w:r w:rsidRPr="006B07E9">
        <w:rPr>
          <w:vertAlign w:val="subscript"/>
        </w:rPr>
        <w:t>2d</w:t>
      </w:r>
      <w:r>
        <w:t>) for the anion. The high symmetry may be one reason why this anion is relatively stable.</w:t>
      </w:r>
    </w:p>
    <w:p w:rsidR="00E825EF" w:rsidRDefault="00220F06" w:rsidP="000068B4">
      <w:pPr>
        <w:spacing w:line="240" w:lineRule="auto"/>
        <w:jc w:val="center"/>
      </w:pPr>
      <w:r>
        <w:rPr>
          <w:noProof/>
        </w:rPr>
        <w:lastRenderedPageBreak/>
        <w:drawing>
          <wp:inline distT="0" distB="0" distL="0" distR="0">
            <wp:extent cx="2852382" cy="200080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vanadate.jpg"/>
                    <pic:cNvPicPr/>
                  </pic:nvPicPr>
                  <pic:blipFill>
                    <a:blip r:embed="rId8">
                      <a:extLst>
                        <a:ext uri="{28A0092B-C50C-407E-A947-70E740481C1C}">
                          <a14:useLocalDpi xmlns:a14="http://schemas.microsoft.com/office/drawing/2010/main" val="0"/>
                        </a:ext>
                      </a:extLst>
                    </a:blip>
                    <a:stretch>
                      <a:fillRect/>
                    </a:stretch>
                  </pic:blipFill>
                  <pic:spPr>
                    <a:xfrm>
                      <a:off x="0" y="0"/>
                      <a:ext cx="2850623" cy="1999567"/>
                    </a:xfrm>
                    <a:prstGeom prst="rect">
                      <a:avLst/>
                    </a:prstGeom>
                  </pic:spPr>
                </pic:pic>
              </a:graphicData>
            </a:graphic>
          </wp:inline>
        </w:drawing>
      </w:r>
    </w:p>
    <w:p w:rsidR="00E825EF" w:rsidRPr="00EC31B2" w:rsidRDefault="00220F06" w:rsidP="000068B4">
      <w:pPr>
        <w:spacing w:line="240" w:lineRule="auto"/>
        <w:jc w:val="center"/>
      </w:pPr>
      <w:r>
        <w:t>Figure 2. The decavanadate anion.</w:t>
      </w:r>
    </w:p>
    <w:p w:rsidR="006510C6" w:rsidRPr="00A53255" w:rsidRDefault="00220F06" w:rsidP="00F97567">
      <w:pPr>
        <w:spacing w:after="0" w:line="276" w:lineRule="auto"/>
        <w:rPr>
          <w:i/>
        </w:rPr>
      </w:pPr>
      <w:r w:rsidRPr="00A53255">
        <w:rPr>
          <w:i/>
        </w:rPr>
        <w:t>Decavanadate in Geology</w:t>
      </w:r>
    </w:p>
    <w:p w:rsidR="00347487" w:rsidRDefault="00220F06" w:rsidP="00E8724E">
      <w:pPr>
        <w:spacing w:line="276" w:lineRule="auto"/>
      </w:pPr>
      <w:r>
        <w:tab/>
        <w:t xml:space="preserve">The decavanadate anion occurs naturally in minerals, huemulite </w:t>
      </w:r>
      <w:r w:rsidRPr="00497C61">
        <w:rPr>
          <w:rFonts w:eastAsia="Times New Roman"/>
        </w:rPr>
        <w:t>Na</w:t>
      </w:r>
      <w:r w:rsidRPr="00497C61">
        <w:rPr>
          <w:rFonts w:eastAsia="Times New Roman"/>
          <w:vertAlign w:val="subscript"/>
        </w:rPr>
        <w:t>4</w:t>
      </w:r>
      <w:r>
        <w:rPr>
          <w:rFonts w:eastAsia="Times New Roman"/>
        </w:rPr>
        <w:t>Mg</w:t>
      </w:r>
      <w:r>
        <w:rPr>
          <w:vertAlign w:val="subscript"/>
        </w:rPr>
        <w:t>2</w:t>
      </w:r>
      <w:r>
        <w:t>V</w:t>
      </w:r>
      <w:r w:rsidRPr="00A80CF8">
        <w:rPr>
          <w:vertAlign w:val="subscript"/>
        </w:rPr>
        <w:t>10</w:t>
      </w:r>
      <w:r>
        <w:t>O</w:t>
      </w:r>
      <w:r w:rsidRPr="00A80CF8">
        <w:rPr>
          <w:vertAlign w:val="subscript"/>
        </w:rPr>
        <w:t>28</w:t>
      </w:r>
      <w:r>
        <w:t>•24H</w:t>
      </w:r>
      <w:r w:rsidRPr="00A80CF8">
        <w:rPr>
          <w:vertAlign w:val="subscript"/>
        </w:rPr>
        <w:t>2</w:t>
      </w:r>
      <w:r>
        <w:t>O, hummerite (KMg)</w:t>
      </w:r>
      <w:r>
        <w:rPr>
          <w:vertAlign w:val="subscript"/>
        </w:rPr>
        <w:t>2</w:t>
      </w:r>
      <w:r>
        <w:t>V</w:t>
      </w:r>
      <w:r w:rsidRPr="00A80CF8">
        <w:rPr>
          <w:vertAlign w:val="subscript"/>
        </w:rPr>
        <w:t>10</w:t>
      </w:r>
      <w:r>
        <w:t>O</w:t>
      </w:r>
      <w:r w:rsidRPr="00A80CF8">
        <w:rPr>
          <w:vertAlign w:val="subscript"/>
        </w:rPr>
        <w:t>28</w:t>
      </w:r>
      <w:r>
        <w:t>•16H</w:t>
      </w:r>
      <w:r w:rsidRPr="00A80CF8">
        <w:rPr>
          <w:vertAlign w:val="subscript"/>
        </w:rPr>
        <w:t>2</w:t>
      </w:r>
      <w:r>
        <w:t>O, lasalite (NaMg)</w:t>
      </w:r>
      <w:r>
        <w:rPr>
          <w:vertAlign w:val="subscript"/>
        </w:rPr>
        <w:t>2</w:t>
      </w:r>
      <w:r>
        <w:t>V</w:t>
      </w:r>
      <w:r w:rsidRPr="00A80CF8">
        <w:rPr>
          <w:vertAlign w:val="subscript"/>
        </w:rPr>
        <w:t>10</w:t>
      </w:r>
      <w:r>
        <w:t>O</w:t>
      </w:r>
      <w:r w:rsidRPr="00A80CF8">
        <w:rPr>
          <w:vertAlign w:val="subscript"/>
        </w:rPr>
        <w:t>28</w:t>
      </w:r>
      <w:r>
        <w:t>•20H</w:t>
      </w:r>
      <w:r w:rsidRPr="00A80CF8">
        <w:rPr>
          <w:vertAlign w:val="subscript"/>
        </w:rPr>
        <w:t>2</w:t>
      </w:r>
      <w:r>
        <w:t>O , pascoite Ca</w:t>
      </w:r>
      <w:r>
        <w:rPr>
          <w:vertAlign w:val="subscript"/>
        </w:rPr>
        <w:t>3</w:t>
      </w:r>
      <w:r>
        <w:t>V</w:t>
      </w:r>
      <w:r w:rsidRPr="00A80CF8">
        <w:rPr>
          <w:vertAlign w:val="subscript"/>
        </w:rPr>
        <w:t>10</w:t>
      </w:r>
      <w:r>
        <w:t>O</w:t>
      </w:r>
      <w:r w:rsidRPr="00A80CF8">
        <w:rPr>
          <w:vertAlign w:val="subscript"/>
        </w:rPr>
        <w:t>28</w:t>
      </w:r>
      <w:r>
        <w:t>•16H</w:t>
      </w:r>
      <w:r w:rsidRPr="00A80CF8">
        <w:rPr>
          <w:vertAlign w:val="subscript"/>
        </w:rPr>
        <w:t>2</w:t>
      </w:r>
      <w:r>
        <w:t>O, magnesiopascoite Ca</w:t>
      </w:r>
      <w:r>
        <w:rPr>
          <w:vertAlign w:val="subscript"/>
        </w:rPr>
        <w:t>2</w:t>
      </w:r>
      <w:r>
        <w:t>MgV</w:t>
      </w:r>
      <w:r w:rsidRPr="00A80CF8">
        <w:rPr>
          <w:vertAlign w:val="subscript"/>
        </w:rPr>
        <w:t>10</w:t>
      </w:r>
      <w:r>
        <w:t>O</w:t>
      </w:r>
      <w:r w:rsidRPr="00A80CF8">
        <w:rPr>
          <w:vertAlign w:val="subscript"/>
        </w:rPr>
        <w:t>28</w:t>
      </w:r>
      <w:r>
        <w:t>•16H</w:t>
      </w:r>
      <w:r w:rsidRPr="00A80CF8">
        <w:rPr>
          <w:vertAlign w:val="subscript"/>
        </w:rPr>
        <w:t>2</w:t>
      </w:r>
      <w:r>
        <w:t>O, and rauvite Ca(UO</w:t>
      </w:r>
      <w:r w:rsidRPr="007D7802">
        <w:rPr>
          <w:vertAlign w:val="subscript"/>
        </w:rPr>
        <w:t>2</w:t>
      </w:r>
      <w:r>
        <w:t>)</w:t>
      </w:r>
      <w:r>
        <w:rPr>
          <w:vertAlign w:val="subscript"/>
        </w:rPr>
        <w:t>2</w:t>
      </w:r>
      <w:r>
        <w:t>V</w:t>
      </w:r>
      <w:r w:rsidRPr="00A80CF8">
        <w:rPr>
          <w:vertAlign w:val="subscript"/>
        </w:rPr>
        <w:t>10</w:t>
      </w:r>
      <w:r>
        <w:t>O</w:t>
      </w:r>
      <w:r w:rsidRPr="00A80CF8">
        <w:rPr>
          <w:vertAlign w:val="subscript"/>
        </w:rPr>
        <w:t>28</w:t>
      </w:r>
      <w:r>
        <w:t>•16H</w:t>
      </w:r>
      <w:r w:rsidRPr="00A80CF8">
        <w:rPr>
          <w:vertAlign w:val="subscript"/>
        </w:rPr>
        <w:t>2</w:t>
      </w:r>
      <w:r>
        <w:t>O, which differ in the cations and amount of hydration. As you can see from Figure 3, the dominant color is yellow-orange. This is due to the presence of the decavanadate anion, which is yellow-orange. All of the vanadium POMs and vanadate are yellow-orange due to charge-transfer bands in the 200 – 500 nm range. Vanadium is in the +5 oxidation state, which means that it has an electron configuration [Ar]3d</w:t>
      </w:r>
      <w:r w:rsidRPr="00A53255">
        <w:rPr>
          <w:vertAlign w:val="superscript"/>
        </w:rPr>
        <w:t>0</w:t>
      </w:r>
      <w:r>
        <w:t>, termed a “</w:t>
      </w:r>
      <w:r w:rsidRPr="00A53255">
        <w:rPr>
          <w:vertAlign w:val="superscript"/>
        </w:rPr>
        <w:t xml:space="preserve"> </w:t>
      </w:r>
      <w:r>
        <w:t>d</w:t>
      </w:r>
      <w:r w:rsidRPr="00A53255">
        <w:rPr>
          <w:vertAlign w:val="superscript"/>
        </w:rPr>
        <w:t>0</w:t>
      </w:r>
      <w:r>
        <w:rPr>
          <w:vertAlign w:val="superscript"/>
        </w:rPr>
        <w:t xml:space="preserve"> </w:t>
      </w:r>
      <w:r>
        <w:t xml:space="preserve">” transition metal ion. With no electrons in the 3d orbitals, the possibility for color being generated by d </w:t>
      </w:r>
      <w:r>
        <w:sym w:font="Wingdings" w:char="F0E0"/>
      </w:r>
      <w:r>
        <w:t>d internal transitions is absent. Instead, the color seen here is generated by the transfer of electron density from the oxide anions to the V</w:t>
      </w:r>
      <w:r w:rsidRPr="00A53255">
        <w:rPr>
          <w:vertAlign w:val="superscript"/>
        </w:rPr>
        <w:t>+5</w:t>
      </w:r>
      <w:r>
        <w:t xml:space="preserve"> cations, termed charge-transfer.</w:t>
      </w:r>
    </w:p>
    <w:p w:rsidR="00347487" w:rsidRDefault="008C12E4" w:rsidP="00347487">
      <w:pPr>
        <w:spacing w:line="276"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168275</wp:posOffset>
                </wp:positionV>
                <wp:extent cx="4229100" cy="1714500"/>
                <wp:effectExtent l="9525" t="18415" r="9525" b="38735"/>
                <wp:wrapTight wrapText="bothSides">
                  <wp:wrapPolygon edited="0">
                    <wp:start x="-146" y="-120"/>
                    <wp:lineTo x="-195" y="240"/>
                    <wp:lineTo x="-195" y="22440"/>
                    <wp:lineTo x="21892" y="22440"/>
                    <wp:lineTo x="21941" y="840"/>
                    <wp:lineTo x="21843" y="0"/>
                    <wp:lineTo x="21697" y="-120"/>
                    <wp:lineTo x="-146" y="-120"/>
                  </wp:wrapPolygon>
                </wp:wrapTight>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714500"/>
                        </a:xfrm>
                        <a:prstGeom prst="rect">
                          <a:avLst/>
                        </a:prstGeom>
                        <a:solidFill>
                          <a:schemeClr val="bg1">
                            <a:lumMod val="100000"/>
                            <a:lumOff val="0"/>
                          </a:schemeClr>
                        </a:solidFill>
                        <a:ln w="19050">
                          <a:solidFill>
                            <a:schemeClr val="accent1">
                              <a:lumMod val="100000"/>
                              <a:lumOff val="0"/>
                            </a:schemeClr>
                          </a:solidFill>
                          <a:miter lim="800000"/>
                          <a:headEnd/>
                          <a:tailEnd/>
                        </a:ln>
                        <a:effectLst>
                          <a:outerShdw dist="25400" dir="5400000" algn="ctr" rotWithShape="0">
                            <a:srgbClr val="808080">
                              <a:alpha val="35001"/>
                            </a:srgbClr>
                          </a:outerShdw>
                        </a:effectLst>
                      </wps:spPr>
                      <wps:txbx>
                        <w:txbxContent>
                          <w:p w:rsidR="00347487" w:rsidRDefault="00220F06">
                            <w:r>
                              <w:t>Removed for copyright complaince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54pt;margin-top:13.25pt;width:33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" fillcolor="white [3212]" strokecolor="#4f81bd [3204]" strokeweight="1.5pt">
                <v:shadow on="t" opacity="22938f" offset="0"/>
                <v:textbox inset=",7.2pt,,7.2pt">
                  <w:txbxContent>
                    <w:p w:rsidR="00347487" w:rsidRDefault="00220F06">
                      <w:r>
                        <w:t>Removed for copyright complaince</w:t>
                      </w:r>
                    </w:p>
                  </w:txbxContent>
                </v:textbox>
                <w10:wrap type="tight"/>
              </v:rect>
            </w:pict>
          </mc:Fallback>
        </mc:AlternateContent>
      </w:r>
    </w:p>
    <w:p w:rsidR="00347487" w:rsidRDefault="00FF016C" w:rsidP="00347487">
      <w:pPr>
        <w:spacing w:line="276" w:lineRule="auto"/>
      </w:pPr>
    </w:p>
    <w:p w:rsidR="00347487" w:rsidRDefault="00FF016C" w:rsidP="00347487">
      <w:pPr>
        <w:spacing w:line="276" w:lineRule="auto"/>
        <w:ind w:firstLine="720"/>
      </w:pPr>
    </w:p>
    <w:p w:rsidR="00347487" w:rsidRDefault="00FF016C" w:rsidP="00347487">
      <w:pPr>
        <w:spacing w:line="276" w:lineRule="auto"/>
      </w:pPr>
    </w:p>
    <w:p w:rsidR="00347487" w:rsidRDefault="00FF016C" w:rsidP="00347487">
      <w:pPr>
        <w:spacing w:line="276" w:lineRule="auto"/>
      </w:pPr>
    </w:p>
    <w:p w:rsidR="00347487" w:rsidRDefault="00FF016C" w:rsidP="00E8724E">
      <w:pPr>
        <w:spacing w:line="276" w:lineRule="auto"/>
      </w:pPr>
    </w:p>
    <w:p w:rsidR="00A53255" w:rsidRPr="00E8724E" w:rsidRDefault="00FF016C" w:rsidP="00E8724E">
      <w:pPr>
        <w:spacing w:line="276" w:lineRule="auto"/>
        <w:rPr>
          <w:rFonts w:eastAsia="Times New Roman"/>
        </w:rPr>
      </w:pPr>
    </w:p>
    <w:p w:rsidR="00A53255" w:rsidRDefault="00220F06" w:rsidP="00A53255">
      <w:pPr>
        <w:spacing w:line="240" w:lineRule="auto"/>
      </w:pPr>
      <w:r>
        <w:t xml:space="preserve">Figure 3. The minerals hummerite (A), pascoite (B) and magnesiopascoite (C), from </w:t>
      </w:r>
      <w:hyperlink r:id="rId9" w:history="1">
        <w:r w:rsidRPr="00A86573">
          <w:rPr>
            <w:rStyle w:val="Hyperlink"/>
          </w:rPr>
          <w:t>www.mindat.org</w:t>
        </w:r>
      </w:hyperlink>
      <w:r>
        <w:t>.</w:t>
      </w:r>
    </w:p>
    <w:p w:rsidR="00A53255" w:rsidRDefault="00FF016C" w:rsidP="00A53255">
      <w:pPr>
        <w:spacing w:line="240" w:lineRule="auto"/>
      </w:pPr>
    </w:p>
    <w:p w:rsidR="008C12E4" w:rsidRDefault="008C12E4" w:rsidP="00F97567">
      <w:pPr>
        <w:spacing w:after="0" w:line="240" w:lineRule="auto"/>
        <w:rPr>
          <w:i/>
        </w:rPr>
      </w:pPr>
    </w:p>
    <w:p w:rsidR="006510C6" w:rsidRPr="00F97567" w:rsidRDefault="00220F06" w:rsidP="00F97567">
      <w:pPr>
        <w:spacing w:after="0" w:line="240" w:lineRule="auto"/>
        <w:rPr>
          <w:i/>
        </w:rPr>
      </w:pPr>
      <w:r w:rsidRPr="00F97567">
        <w:rPr>
          <w:i/>
        </w:rPr>
        <w:lastRenderedPageBreak/>
        <w:t>Decavanadate in Biology</w:t>
      </w:r>
    </w:p>
    <w:p w:rsidR="006510C6" w:rsidRDefault="00220F06" w:rsidP="00F97567">
      <w:pPr>
        <w:spacing w:after="0" w:line="240" w:lineRule="auto"/>
      </w:pPr>
      <w:r>
        <w:tab/>
        <w:t>Vanadate (VO</w:t>
      </w:r>
      <w:r w:rsidRPr="006510C6">
        <w:rPr>
          <w:vertAlign w:val="subscript"/>
        </w:rPr>
        <w:t>4</w:t>
      </w:r>
      <w:r w:rsidRPr="006510C6">
        <w:rPr>
          <w:vertAlign w:val="superscript"/>
        </w:rPr>
        <w:t>3-</w:t>
      </w:r>
      <w:r>
        <w:t>) is isostructural and isoelectronic with phosphate (PO</w:t>
      </w:r>
      <w:r w:rsidRPr="006510C6">
        <w:rPr>
          <w:vertAlign w:val="subscript"/>
        </w:rPr>
        <w:t>4</w:t>
      </w:r>
      <w:r w:rsidRPr="006510C6">
        <w:rPr>
          <w:vertAlign w:val="superscript"/>
        </w:rPr>
        <w:t>3-</w:t>
      </w:r>
      <w:r>
        <w:t xml:space="preserve">) (Figure 4). </w:t>
      </w:r>
    </w:p>
    <w:p w:rsidR="00073B55" w:rsidRDefault="00FF016C" w:rsidP="00F97567">
      <w:pPr>
        <w:spacing w:after="0" w:line="240" w:lineRule="auto"/>
      </w:pPr>
    </w:p>
    <w:p w:rsidR="009516E6" w:rsidRDefault="00220F06" w:rsidP="00F71FA6">
      <w:pPr>
        <w:spacing w:line="276" w:lineRule="auto"/>
        <w:jc w:val="center"/>
      </w:pPr>
      <w:r>
        <w:object w:dxaOrig="4759" w:dyaOrig="1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87.6pt" o:ole="">
            <v:imagedata r:id="rId10" o:title=""/>
          </v:shape>
          <o:OLEObject Type="Embed" ProgID="ChemDraw.Document.6.0" ShapeID="_x0000_i1025" DrawAspect="Content" ObjectID="_1433849915" r:id="rId11"/>
        </w:object>
      </w:r>
    </w:p>
    <w:p w:rsidR="00F71FA6" w:rsidRDefault="00220F06" w:rsidP="00F71FA6">
      <w:pPr>
        <w:spacing w:line="276" w:lineRule="auto"/>
      </w:pPr>
      <w:r>
        <w:t>Figure 4. Schematic drawings of vanadate and phosphate, showing tetrahedral coordination.</w:t>
      </w:r>
      <w:r w:rsidRPr="00F71FA6">
        <w:t xml:space="preserve"> </w:t>
      </w:r>
    </w:p>
    <w:p w:rsidR="00F71FA6" w:rsidRDefault="00220F06" w:rsidP="00F71FA6">
      <w:pPr>
        <w:spacing w:line="276" w:lineRule="auto"/>
      </w:pPr>
      <w:r>
        <w:t>For this reason, vanadate has found interest with researchers studying the role of phosphate in biological systems, such as in insulin uptake in cells. In addition, decavanadate has been used to bind to biologically relevant molecules, such as gelatin, cytosine, estrogen receptor, and myosin.</w:t>
      </w:r>
    </w:p>
    <w:p w:rsidR="00525386" w:rsidRDefault="00FF016C" w:rsidP="00F71FA6">
      <w:pPr>
        <w:spacing w:line="276" w:lineRule="auto"/>
      </w:pPr>
    </w:p>
    <w:p w:rsidR="00AD3717" w:rsidRPr="00525386" w:rsidRDefault="00220F06" w:rsidP="00525386">
      <w:pPr>
        <w:spacing w:after="0" w:line="276" w:lineRule="auto"/>
        <w:rPr>
          <w:b/>
        </w:rPr>
      </w:pPr>
      <w:r w:rsidRPr="00525386">
        <w:rPr>
          <w:b/>
        </w:rPr>
        <w:t>Laboratory Experiment</w:t>
      </w:r>
    </w:p>
    <w:p w:rsidR="00AD3717" w:rsidRDefault="00220F06" w:rsidP="00525386">
      <w:pPr>
        <w:spacing w:after="0" w:line="276" w:lineRule="auto"/>
      </w:pPr>
      <w:r>
        <w:tab/>
        <w:t>In this experiment, you will synthesize (NH</w:t>
      </w:r>
      <w:r w:rsidRPr="00A80CF8">
        <w:rPr>
          <w:vertAlign w:val="subscript"/>
        </w:rPr>
        <w:t>4</w:t>
      </w:r>
      <w:r>
        <w:t>)</w:t>
      </w:r>
      <w:r w:rsidRPr="00A80CF8">
        <w:rPr>
          <w:vertAlign w:val="subscript"/>
        </w:rPr>
        <w:t>6</w:t>
      </w:r>
      <w:r>
        <w:t>V</w:t>
      </w:r>
      <w:r w:rsidRPr="00A80CF8">
        <w:rPr>
          <w:vertAlign w:val="subscript"/>
        </w:rPr>
        <w:t>10</w:t>
      </w:r>
      <w:r>
        <w:t>O</w:t>
      </w:r>
      <w:r w:rsidRPr="00A80CF8">
        <w:rPr>
          <w:vertAlign w:val="subscript"/>
        </w:rPr>
        <w:t>28</w:t>
      </w:r>
      <w:r>
        <w:t>•6H</w:t>
      </w:r>
      <w:r w:rsidRPr="00A80CF8">
        <w:rPr>
          <w:vertAlign w:val="subscript"/>
        </w:rPr>
        <w:t>2</w:t>
      </w:r>
      <w:r>
        <w:t>O from ammonium metavanadate (NH</w:t>
      </w:r>
      <w:r w:rsidRPr="00AD3717">
        <w:rPr>
          <w:vertAlign w:val="subscript"/>
        </w:rPr>
        <w:t>4</w:t>
      </w:r>
      <w:r>
        <w:t>VO</w:t>
      </w:r>
      <w:r w:rsidRPr="00AD3717">
        <w:rPr>
          <w:vertAlign w:val="subscript"/>
        </w:rPr>
        <w:t>3</w:t>
      </w:r>
      <w:r>
        <w:t>), and analyze the resultant product for purity via UV-Vis spectroscopy and permanganate titration. The self-assembly of the decavanadate occurs according to Figure 5.</w:t>
      </w:r>
    </w:p>
    <w:p w:rsidR="00073B55" w:rsidRDefault="00FF016C" w:rsidP="00525386">
      <w:pPr>
        <w:spacing w:after="0" w:line="276" w:lineRule="auto"/>
      </w:pPr>
    </w:p>
    <w:p w:rsidR="0050489A" w:rsidRDefault="00220F06" w:rsidP="00F71FA6">
      <w:pPr>
        <w:spacing w:line="276" w:lineRule="auto"/>
      </w:pPr>
      <w:r>
        <w:object w:dxaOrig="8443" w:dyaOrig="2275">
          <v:shape id="_x0000_i1026" type="#_x0000_t75" style="width:422.35pt;height:113.9pt" o:ole="">
            <v:imagedata r:id="rId12" o:title=""/>
          </v:shape>
          <o:OLEObject Type="Embed" ProgID="ChemDraw.Document.6.0" ShapeID="_x0000_i1026" DrawAspect="Content" ObjectID="_1433849916" r:id="rId13"/>
        </w:object>
      </w:r>
    </w:p>
    <w:p w:rsidR="0050489A" w:rsidRDefault="00220F06" w:rsidP="00F71FA6">
      <w:pPr>
        <w:spacing w:line="276" w:lineRule="auto"/>
      </w:pPr>
      <w:r>
        <w:t>Figure 5. Self-assembly of decavanadate as a function of changing pH.</w:t>
      </w:r>
    </w:p>
    <w:p w:rsidR="0050489A" w:rsidRDefault="00220F06" w:rsidP="00F71FA6">
      <w:pPr>
        <w:spacing w:line="276" w:lineRule="auto"/>
      </w:pPr>
      <w:r>
        <w:t>Permanganate titration involves first the reduction of V</w:t>
      </w:r>
      <w:r w:rsidRPr="0050489A">
        <w:rPr>
          <w:vertAlign w:val="superscript"/>
        </w:rPr>
        <w:t>5+</w:t>
      </w:r>
      <w:r>
        <w:t xml:space="preserve"> in decavanadate (orange) to V</w:t>
      </w:r>
      <w:r w:rsidRPr="0050489A">
        <w:rPr>
          <w:vertAlign w:val="superscript"/>
        </w:rPr>
        <w:t>4+</w:t>
      </w:r>
      <w:r>
        <w:t xml:space="preserve"> in vanadyl cation (blue) using sulfurous acid (eqn. 1). Then, the vanadyl cation is titrated with purple permanganate to form pale yellow vanadate and colorless Mn</w:t>
      </w:r>
      <w:r w:rsidRPr="0050489A">
        <w:rPr>
          <w:vertAlign w:val="superscript"/>
        </w:rPr>
        <w:t>2+</w:t>
      </w:r>
      <w:r>
        <w:t xml:space="preserve"> (eqn. 2).</w:t>
      </w:r>
    </w:p>
    <w:p w:rsidR="0050489A" w:rsidRDefault="00220F06" w:rsidP="0050489A">
      <w:pPr>
        <w:spacing w:line="276" w:lineRule="auto"/>
        <w:ind w:left="1440" w:firstLine="720"/>
      </w:pPr>
      <w:r>
        <w:t>V</w:t>
      </w:r>
      <w:r w:rsidRPr="0050489A">
        <w:rPr>
          <w:vertAlign w:val="subscript"/>
        </w:rPr>
        <w:t>10</w:t>
      </w:r>
      <w:r>
        <w:t>O</w:t>
      </w:r>
      <w:r w:rsidRPr="0050489A">
        <w:rPr>
          <w:vertAlign w:val="subscript"/>
        </w:rPr>
        <w:t>28</w:t>
      </w:r>
      <w:r w:rsidRPr="0050489A">
        <w:rPr>
          <w:vertAlign w:val="superscript"/>
        </w:rPr>
        <w:t>6-</w:t>
      </w:r>
      <w:r>
        <w:t xml:space="preserve"> + H</w:t>
      </w:r>
      <w:r w:rsidRPr="0050489A">
        <w:rPr>
          <w:vertAlign w:val="subscript"/>
        </w:rPr>
        <w:t>2</w:t>
      </w:r>
      <w:r>
        <w:t>SO</w:t>
      </w:r>
      <w:r w:rsidRPr="0050489A">
        <w:rPr>
          <w:vertAlign w:val="subscript"/>
        </w:rPr>
        <w:t>3</w:t>
      </w:r>
      <w:r>
        <w:t xml:space="preserve"> </w:t>
      </w:r>
      <w:r>
        <w:sym w:font="Wingdings" w:char="F0E0"/>
      </w:r>
      <w:r>
        <w:t xml:space="preserve"> VO</w:t>
      </w:r>
      <w:r w:rsidRPr="0050489A">
        <w:rPr>
          <w:vertAlign w:val="superscript"/>
        </w:rPr>
        <w:t>2+</w:t>
      </w:r>
      <w:r>
        <w:t xml:space="preserve"> + SO</w:t>
      </w:r>
      <w:r>
        <w:rPr>
          <w:vertAlign w:val="subscript"/>
        </w:rPr>
        <w:t>3</w:t>
      </w:r>
      <w:r>
        <w:t xml:space="preserve"> (g)</w:t>
      </w:r>
      <w:r>
        <w:tab/>
      </w:r>
      <w:r>
        <w:tab/>
      </w:r>
      <w:r>
        <w:tab/>
      </w:r>
      <w:r>
        <w:tab/>
        <w:t>(1)</w:t>
      </w:r>
    </w:p>
    <w:p w:rsidR="0050489A" w:rsidRDefault="00220F06" w:rsidP="0050489A">
      <w:pPr>
        <w:spacing w:line="276" w:lineRule="auto"/>
        <w:ind w:left="1440" w:firstLine="720"/>
      </w:pPr>
      <w:r>
        <w:t>VO</w:t>
      </w:r>
      <w:r w:rsidRPr="0050489A">
        <w:rPr>
          <w:vertAlign w:val="superscript"/>
        </w:rPr>
        <w:t>2+</w:t>
      </w:r>
      <w:r>
        <w:t xml:space="preserve"> + MnO</w:t>
      </w:r>
      <w:r w:rsidRPr="0050489A">
        <w:rPr>
          <w:vertAlign w:val="subscript"/>
        </w:rPr>
        <w:t>4</w:t>
      </w:r>
      <w:r w:rsidRPr="0050489A">
        <w:rPr>
          <w:vertAlign w:val="superscript"/>
        </w:rPr>
        <w:t>-</w:t>
      </w:r>
      <w:r>
        <w:t xml:space="preserve"> </w:t>
      </w:r>
      <w:r>
        <w:sym w:font="Wingdings" w:char="F0E0"/>
      </w:r>
      <w:r>
        <w:t xml:space="preserve"> VO</w:t>
      </w:r>
      <w:r w:rsidRPr="0050489A">
        <w:rPr>
          <w:vertAlign w:val="subscript"/>
        </w:rPr>
        <w:t>2</w:t>
      </w:r>
      <w:r w:rsidRPr="0050489A">
        <w:rPr>
          <w:vertAlign w:val="superscript"/>
        </w:rPr>
        <w:t>+</w:t>
      </w:r>
      <w:r>
        <w:t xml:space="preserve"> + Mn</w:t>
      </w:r>
      <w:r w:rsidRPr="0050489A">
        <w:rPr>
          <w:vertAlign w:val="superscript"/>
        </w:rPr>
        <w:t>2+</w:t>
      </w:r>
      <w:r>
        <w:tab/>
      </w:r>
      <w:r>
        <w:tab/>
      </w:r>
      <w:r>
        <w:tab/>
      </w:r>
      <w:r>
        <w:tab/>
        <w:t xml:space="preserve">(2) </w:t>
      </w:r>
    </w:p>
    <w:p w:rsidR="00C97AA4" w:rsidRDefault="00FF016C" w:rsidP="00525386">
      <w:pPr>
        <w:spacing w:after="0" w:line="276" w:lineRule="auto"/>
        <w:rPr>
          <w:i/>
        </w:rPr>
      </w:pPr>
    </w:p>
    <w:p w:rsidR="00C97AA4" w:rsidRDefault="00FF016C" w:rsidP="00525386">
      <w:pPr>
        <w:spacing w:after="0" w:line="276" w:lineRule="auto"/>
        <w:rPr>
          <w:i/>
        </w:rPr>
      </w:pPr>
    </w:p>
    <w:p w:rsidR="008C12E4" w:rsidRDefault="008C12E4" w:rsidP="00525386">
      <w:pPr>
        <w:spacing w:after="0" w:line="276" w:lineRule="auto"/>
        <w:rPr>
          <w:i/>
        </w:rPr>
      </w:pPr>
    </w:p>
    <w:p w:rsidR="002D2983" w:rsidRPr="00525386" w:rsidRDefault="00220F06" w:rsidP="00525386">
      <w:pPr>
        <w:spacing w:after="0" w:line="276" w:lineRule="auto"/>
        <w:rPr>
          <w:i/>
        </w:rPr>
      </w:pPr>
      <w:bookmarkStart w:id="0" w:name="_GoBack"/>
      <w:bookmarkEnd w:id="0"/>
      <w:r w:rsidRPr="00525386">
        <w:rPr>
          <w:i/>
        </w:rPr>
        <w:lastRenderedPageBreak/>
        <w:t>Synthesis of (NH</w:t>
      </w:r>
      <w:r w:rsidRPr="00525386">
        <w:rPr>
          <w:i/>
          <w:vertAlign w:val="subscript"/>
        </w:rPr>
        <w:t>4</w:t>
      </w:r>
      <w:r w:rsidRPr="00525386">
        <w:rPr>
          <w:i/>
        </w:rPr>
        <w:t>)</w:t>
      </w:r>
      <w:r w:rsidRPr="00525386">
        <w:rPr>
          <w:i/>
          <w:vertAlign w:val="subscript"/>
        </w:rPr>
        <w:t>6</w:t>
      </w:r>
      <w:r w:rsidRPr="00525386">
        <w:rPr>
          <w:i/>
        </w:rPr>
        <w:t>V</w:t>
      </w:r>
      <w:r w:rsidRPr="00525386">
        <w:rPr>
          <w:i/>
          <w:vertAlign w:val="subscript"/>
        </w:rPr>
        <w:t>10</w:t>
      </w:r>
      <w:r w:rsidRPr="00525386">
        <w:rPr>
          <w:i/>
        </w:rPr>
        <w:t>O</w:t>
      </w:r>
      <w:r w:rsidRPr="00525386">
        <w:rPr>
          <w:i/>
          <w:vertAlign w:val="subscript"/>
        </w:rPr>
        <w:t>28</w:t>
      </w:r>
      <w:r w:rsidRPr="00525386">
        <w:rPr>
          <w:i/>
        </w:rPr>
        <w:t>•6H</w:t>
      </w:r>
      <w:r w:rsidRPr="00525386">
        <w:rPr>
          <w:i/>
          <w:vertAlign w:val="subscript"/>
        </w:rPr>
        <w:t>2</w:t>
      </w:r>
      <w:r w:rsidRPr="00525386">
        <w:rPr>
          <w:i/>
        </w:rPr>
        <w:t>O</w:t>
      </w:r>
    </w:p>
    <w:p w:rsidR="00525386" w:rsidRDefault="00220F06" w:rsidP="00525386">
      <w:pPr>
        <w:spacing w:after="0" w:line="276" w:lineRule="auto"/>
        <w:ind w:firstLine="720"/>
      </w:pPr>
      <w:r>
        <w:t>Weigh out 0.3g of NH</w:t>
      </w:r>
      <w:r w:rsidRPr="00525386">
        <w:rPr>
          <w:vertAlign w:val="subscript"/>
        </w:rPr>
        <w:t>4</w:t>
      </w:r>
      <w:r>
        <w:t>VO</w:t>
      </w:r>
      <w:r w:rsidRPr="00525386">
        <w:rPr>
          <w:vertAlign w:val="subscript"/>
        </w:rPr>
        <w:t>3</w:t>
      </w:r>
      <w:r>
        <w:t xml:space="preserve"> into a 50. mL beaker. Add 5 mL DI H</w:t>
      </w:r>
      <w:r w:rsidRPr="00CB7346">
        <w:rPr>
          <w:vertAlign w:val="subscript"/>
        </w:rPr>
        <w:t>2</w:t>
      </w:r>
      <w:r>
        <w:t>O with stirring and gentle heat. After the NH</w:t>
      </w:r>
      <w:r w:rsidRPr="00525386">
        <w:rPr>
          <w:vertAlign w:val="subscript"/>
        </w:rPr>
        <w:t>4</w:t>
      </w:r>
      <w:r>
        <w:t>VO</w:t>
      </w:r>
      <w:r w:rsidRPr="00525386">
        <w:rPr>
          <w:vertAlign w:val="subscript"/>
        </w:rPr>
        <w:t>3</w:t>
      </w:r>
      <w:r>
        <w:t xml:space="preserve"> slurry has turned yellow, add 0.4 mL 50% aqueous acetic acid solution with stirring. Add 15. mL 95% ethanol with stirring. Put on an ice bath for 15 minutes. Gravity filter the solid and wash with two 1.5 mL portions of ice-cold ethanol. Set aside to dry. When dry, weigh into a clean vial and calculate percent yield.</w:t>
      </w:r>
    </w:p>
    <w:p w:rsidR="00CB7346" w:rsidRDefault="00FF016C" w:rsidP="00525386">
      <w:pPr>
        <w:spacing w:after="0" w:line="276" w:lineRule="auto"/>
        <w:ind w:firstLine="720"/>
      </w:pPr>
    </w:p>
    <w:p w:rsidR="00525386" w:rsidRPr="00745A54" w:rsidRDefault="00220F06" w:rsidP="00745A54">
      <w:pPr>
        <w:spacing w:after="0" w:line="276" w:lineRule="auto"/>
        <w:rPr>
          <w:i/>
        </w:rPr>
      </w:pPr>
      <w:r w:rsidRPr="00745A54">
        <w:rPr>
          <w:i/>
        </w:rPr>
        <w:t>UV-Vis Analysis of (NH</w:t>
      </w:r>
      <w:r w:rsidRPr="00745A54">
        <w:rPr>
          <w:i/>
          <w:vertAlign w:val="subscript"/>
        </w:rPr>
        <w:t>4</w:t>
      </w:r>
      <w:r w:rsidRPr="00745A54">
        <w:rPr>
          <w:i/>
        </w:rPr>
        <w:t>)</w:t>
      </w:r>
      <w:r w:rsidRPr="00745A54">
        <w:rPr>
          <w:i/>
          <w:vertAlign w:val="subscript"/>
        </w:rPr>
        <w:t>6</w:t>
      </w:r>
      <w:r w:rsidRPr="00745A54">
        <w:rPr>
          <w:i/>
        </w:rPr>
        <w:t>V</w:t>
      </w:r>
      <w:r w:rsidRPr="00745A54">
        <w:rPr>
          <w:i/>
          <w:vertAlign w:val="subscript"/>
        </w:rPr>
        <w:t>10</w:t>
      </w:r>
      <w:r w:rsidRPr="00745A54">
        <w:rPr>
          <w:i/>
        </w:rPr>
        <w:t>O</w:t>
      </w:r>
      <w:r w:rsidRPr="00745A54">
        <w:rPr>
          <w:i/>
          <w:vertAlign w:val="subscript"/>
        </w:rPr>
        <w:t>28</w:t>
      </w:r>
      <w:r w:rsidRPr="00745A54">
        <w:rPr>
          <w:i/>
        </w:rPr>
        <w:t>•6H</w:t>
      </w:r>
      <w:r w:rsidRPr="00745A54">
        <w:rPr>
          <w:i/>
          <w:vertAlign w:val="subscript"/>
        </w:rPr>
        <w:t>2</w:t>
      </w:r>
      <w:r w:rsidRPr="00745A54">
        <w:rPr>
          <w:i/>
        </w:rPr>
        <w:t>O</w:t>
      </w:r>
    </w:p>
    <w:p w:rsidR="00525386" w:rsidRDefault="00220F06" w:rsidP="00745A54">
      <w:pPr>
        <w:spacing w:after="0" w:line="276" w:lineRule="auto"/>
      </w:pPr>
      <w:r>
        <w:tab/>
        <w:t>Dissolve 0.1g of your product into DI water using a clean 100. mL volumetric flask. Transfer to a clean 250 mL Erlenmeyer flask. Label this Solution A. Transfer 10.0 mL of solution A back into the volumetric flask, and dilute to 100. mL. Label this Solution B. Create five Beer’s Law dilutions from two burets (stock decavanadate (2.0 x 10</w:t>
      </w:r>
      <w:r>
        <w:rPr>
          <w:vertAlign w:val="superscript"/>
        </w:rPr>
        <w:t>-4</w:t>
      </w:r>
      <w:r>
        <w:t xml:space="preserve"> M) and DI H</w:t>
      </w:r>
      <w:r w:rsidRPr="007E788A">
        <w:rPr>
          <w:vertAlign w:val="subscript"/>
        </w:rPr>
        <w:t>2</w:t>
      </w:r>
      <w:r>
        <w:t>O); 5:0, 4:1, 3:2, 2:3, 1:4, in small test tubes. With the spectrophotometer set to 400 nm, determine the absorbance values of the standard decavanandate solutions,</w:t>
      </w:r>
      <w:r w:rsidRPr="00ED720C">
        <w:t xml:space="preserve"> </w:t>
      </w:r>
      <w:r>
        <w:t>most dilute to most concentrated, and your solution B. Calculate the percent vanadium in your product and compare it to the theoretical value.</w:t>
      </w:r>
    </w:p>
    <w:p w:rsidR="00745A54" w:rsidRDefault="00FF016C" w:rsidP="00745A54">
      <w:pPr>
        <w:spacing w:after="0" w:line="276" w:lineRule="auto"/>
      </w:pPr>
    </w:p>
    <w:p w:rsidR="00532CF1" w:rsidRDefault="00220F06" w:rsidP="00745A54">
      <w:pPr>
        <w:spacing w:after="0" w:line="276" w:lineRule="auto"/>
        <w:rPr>
          <w:i/>
        </w:rPr>
      </w:pPr>
      <w:r>
        <w:rPr>
          <w:i/>
        </w:rPr>
        <w:t>IR Analysis</w:t>
      </w:r>
    </w:p>
    <w:p w:rsidR="003D3341" w:rsidRDefault="00220F06" w:rsidP="00532CF1">
      <w:pPr>
        <w:spacing w:after="0" w:line="240" w:lineRule="auto"/>
      </w:pPr>
      <w:r>
        <w:tab/>
        <w:t xml:space="preserve">Obtain an IR spectrum of your product. Review the Inorganic Spectroscopy Tutorial (IR spectroscopy section) provided online: </w:t>
      </w:r>
      <w:hyperlink r:id="rId14" w:history="1">
        <w:r w:rsidRPr="00F502A4">
          <w:rPr>
            <w:rStyle w:val="Hyperlink"/>
          </w:rPr>
          <w:t>http://www.chem.ualberta.ca/~inorglab/spectut/TblofCont.html</w:t>
        </w:r>
      </w:hyperlink>
      <w:r>
        <w:t xml:space="preserve">. </w:t>
      </w:r>
    </w:p>
    <w:p w:rsidR="00532CF1" w:rsidRDefault="00220F06" w:rsidP="00532CF1">
      <w:pPr>
        <w:spacing w:after="0" w:line="240" w:lineRule="auto"/>
      </w:pPr>
      <w:r>
        <w:t xml:space="preserve">Using the information provided here about IR band assignments, complete the IR assignment table in the Data section; IR spectra of standards ammonium metavanadate and acetic acid are provided. Legend: </w:t>
      </w:r>
      <w:r w:rsidRPr="00496315">
        <w:rPr>
          <w:rFonts w:ascii="Symbol" w:hAnsi="Symbol"/>
        </w:rPr>
        <w:t></w:t>
      </w:r>
      <w:r>
        <w:t xml:space="preserve"> =  stretch, </w:t>
      </w:r>
      <w:r w:rsidRPr="00496315">
        <w:rPr>
          <w:rFonts w:ascii="Symbol" w:hAnsi="Symbol"/>
        </w:rPr>
        <w:t></w:t>
      </w:r>
      <w:r>
        <w:t xml:space="preserve"> = bend</w:t>
      </w:r>
    </w:p>
    <w:p w:rsidR="00532CF1" w:rsidRDefault="00FF016C" w:rsidP="00532CF1">
      <w:pPr>
        <w:spacing w:after="0" w:line="240" w:lineRule="auto"/>
      </w:pPr>
    </w:p>
    <w:tbl>
      <w:tblPr>
        <w:tblStyle w:val="TableGrid"/>
        <w:tblW w:w="0" w:type="auto"/>
        <w:tblLook w:val="04A0" w:firstRow="1" w:lastRow="0" w:firstColumn="1" w:lastColumn="0" w:noHBand="0" w:noVBand="1"/>
      </w:tblPr>
      <w:tblGrid>
        <w:gridCol w:w="3168"/>
        <w:gridCol w:w="4950"/>
      </w:tblGrid>
      <w:tr w:rsidR="003D3341" w:rsidRPr="00F41A91">
        <w:tc>
          <w:tcPr>
            <w:tcW w:w="3168" w:type="dxa"/>
          </w:tcPr>
          <w:p w:rsidR="003D3341" w:rsidRPr="00F41A91" w:rsidRDefault="00220F06" w:rsidP="00A17658">
            <w:pPr>
              <w:spacing w:line="240" w:lineRule="auto"/>
              <w:jc w:val="center"/>
              <w:rPr>
                <w:b/>
              </w:rPr>
            </w:pPr>
            <w:r w:rsidRPr="00F41A91">
              <w:rPr>
                <w:b/>
              </w:rPr>
              <w:t>Assignment</w:t>
            </w:r>
          </w:p>
        </w:tc>
        <w:tc>
          <w:tcPr>
            <w:tcW w:w="4950" w:type="dxa"/>
          </w:tcPr>
          <w:p w:rsidR="003D3341" w:rsidRPr="00F41A91" w:rsidRDefault="00220F06" w:rsidP="00A17658">
            <w:pPr>
              <w:spacing w:line="240" w:lineRule="auto"/>
              <w:rPr>
                <w:b/>
              </w:rPr>
            </w:pPr>
            <w:r w:rsidRPr="00F41A91">
              <w:rPr>
                <w:b/>
              </w:rPr>
              <w:t>cm</w:t>
            </w:r>
            <w:r w:rsidRPr="00F41A91">
              <w:rPr>
                <w:b/>
                <w:vertAlign w:val="superscript"/>
              </w:rPr>
              <w:t>-1</w:t>
            </w:r>
            <w:r w:rsidRPr="00F41A91">
              <w:rPr>
                <w:b/>
              </w:rPr>
              <w:t xml:space="preserve"> range and appearance</w:t>
            </w:r>
          </w:p>
        </w:tc>
      </w:tr>
      <w:tr w:rsidR="003D3341">
        <w:tc>
          <w:tcPr>
            <w:tcW w:w="3168" w:type="dxa"/>
          </w:tcPr>
          <w:p w:rsidR="003D3341" w:rsidRDefault="00220F06" w:rsidP="00A17658">
            <w:pPr>
              <w:spacing w:line="240" w:lineRule="auto"/>
              <w:jc w:val="center"/>
            </w:pPr>
            <w:r w:rsidRPr="000A45CA">
              <w:rPr>
                <w:rFonts w:ascii="Symbol" w:hAnsi="Symbol"/>
              </w:rPr>
              <w:t></w:t>
            </w:r>
            <w:r>
              <w:t>O-H</w:t>
            </w:r>
          </w:p>
        </w:tc>
        <w:tc>
          <w:tcPr>
            <w:tcW w:w="4950" w:type="dxa"/>
          </w:tcPr>
          <w:p w:rsidR="003D3341" w:rsidRDefault="00220F06" w:rsidP="00A17658">
            <w:pPr>
              <w:spacing w:line="240" w:lineRule="auto"/>
            </w:pPr>
            <w:r>
              <w:t>3200 – 3600, broad</w:t>
            </w:r>
          </w:p>
        </w:tc>
      </w:tr>
      <w:tr w:rsidR="003D3341">
        <w:tc>
          <w:tcPr>
            <w:tcW w:w="3168" w:type="dxa"/>
          </w:tcPr>
          <w:p w:rsidR="003D3341" w:rsidRDefault="00220F06" w:rsidP="00A17658">
            <w:pPr>
              <w:spacing w:line="240" w:lineRule="auto"/>
              <w:jc w:val="center"/>
            </w:pPr>
            <w:r w:rsidRPr="000A45CA">
              <w:rPr>
                <w:rFonts w:ascii="Symbol" w:hAnsi="Symbol"/>
              </w:rPr>
              <w:t></w:t>
            </w:r>
            <w:r>
              <w:t>N-H</w:t>
            </w:r>
          </w:p>
        </w:tc>
        <w:tc>
          <w:tcPr>
            <w:tcW w:w="4950" w:type="dxa"/>
          </w:tcPr>
          <w:p w:rsidR="003D3341" w:rsidRDefault="00220F06" w:rsidP="00A17658">
            <w:pPr>
              <w:spacing w:line="240" w:lineRule="auto"/>
            </w:pPr>
            <w:r>
              <w:t>2700 – 3200, small, group of bands</w:t>
            </w:r>
          </w:p>
        </w:tc>
      </w:tr>
      <w:tr w:rsidR="003D3341">
        <w:tc>
          <w:tcPr>
            <w:tcW w:w="3168" w:type="dxa"/>
          </w:tcPr>
          <w:p w:rsidR="003D3341" w:rsidRDefault="00220F06" w:rsidP="00A17658">
            <w:pPr>
              <w:spacing w:line="240" w:lineRule="auto"/>
              <w:jc w:val="center"/>
            </w:pPr>
            <w:r w:rsidRPr="000A45CA">
              <w:rPr>
                <w:rFonts w:ascii="Symbol" w:hAnsi="Symbol"/>
              </w:rPr>
              <w:t></w:t>
            </w:r>
            <w:r>
              <w:t>C-H</w:t>
            </w:r>
          </w:p>
        </w:tc>
        <w:tc>
          <w:tcPr>
            <w:tcW w:w="4950" w:type="dxa"/>
          </w:tcPr>
          <w:p w:rsidR="003D3341" w:rsidRDefault="00220F06" w:rsidP="00A17658">
            <w:pPr>
              <w:spacing w:line="240" w:lineRule="auto"/>
            </w:pPr>
            <w:r>
              <w:t>2800 – 3000, small band(s)</w:t>
            </w:r>
          </w:p>
        </w:tc>
      </w:tr>
      <w:tr w:rsidR="003D3341">
        <w:tc>
          <w:tcPr>
            <w:tcW w:w="3168" w:type="dxa"/>
          </w:tcPr>
          <w:p w:rsidR="003D3341" w:rsidRPr="00972330" w:rsidRDefault="00220F06" w:rsidP="00A17658">
            <w:pPr>
              <w:spacing w:line="240" w:lineRule="auto"/>
              <w:jc w:val="center"/>
              <w:rPr>
                <w:vertAlign w:val="superscript"/>
              </w:rPr>
            </w:pPr>
            <w:r w:rsidRPr="000A45CA">
              <w:rPr>
                <w:rFonts w:ascii="Symbol" w:hAnsi="Symbol"/>
              </w:rPr>
              <w:t></w:t>
            </w:r>
            <w:r>
              <w:t xml:space="preserve">C=O and </w:t>
            </w:r>
            <w:r w:rsidRPr="000A45CA">
              <w:rPr>
                <w:rFonts w:ascii="Symbol" w:hAnsi="Symbol"/>
              </w:rPr>
              <w:t></w:t>
            </w:r>
            <w:r>
              <w:t>C-O in RCO</w:t>
            </w:r>
            <w:r>
              <w:softHyphen/>
            </w:r>
            <w:r>
              <w:rPr>
                <w:vertAlign w:val="subscript"/>
              </w:rPr>
              <w:t>2</w:t>
            </w:r>
            <w:r>
              <w:rPr>
                <w:vertAlign w:val="superscript"/>
              </w:rPr>
              <w:t>-</w:t>
            </w:r>
          </w:p>
        </w:tc>
        <w:tc>
          <w:tcPr>
            <w:tcW w:w="4950" w:type="dxa"/>
          </w:tcPr>
          <w:p w:rsidR="003D3341" w:rsidRDefault="00220F06" w:rsidP="00A17658">
            <w:pPr>
              <w:spacing w:line="240" w:lineRule="auto"/>
            </w:pPr>
            <w:r>
              <w:t>1310 – 1460, medium, 1560 – 1690, strong</w:t>
            </w:r>
          </w:p>
        </w:tc>
      </w:tr>
      <w:tr w:rsidR="003D3341">
        <w:tc>
          <w:tcPr>
            <w:tcW w:w="3168" w:type="dxa"/>
          </w:tcPr>
          <w:p w:rsidR="003D3341" w:rsidRDefault="00220F06" w:rsidP="00A17658">
            <w:pPr>
              <w:spacing w:line="240" w:lineRule="auto"/>
              <w:jc w:val="center"/>
            </w:pPr>
            <w:r w:rsidRPr="000A45CA">
              <w:rPr>
                <w:rFonts w:ascii="Symbol" w:hAnsi="Symbol"/>
              </w:rPr>
              <w:t></w:t>
            </w:r>
            <w:r>
              <w:t>N-H</w:t>
            </w:r>
          </w:p>
        </w:tc>
        <w:tc>
          <w:tcPr>
            <w:tcW w:w="4950" w:type="dxa"/>
          </w:tcPr>
          <w:p w:rsidR="003D3341" w:rsidRDefault="00220F06" w:rsidP="00A17658">
            <w:pPr>
              <w:spacing w:line="240" w:lineRule="auto"/>
            </w:pPr>
            <w:r>
              <w:t>1400 – 1650, medium</w:t>
            </w:r>
          </w:p>
        </w:tc>
      </w:tr>
      <w:tr w:rsidR="003D3341">
        <w:tc>
          <w:tcPr>
            <w:tcW w:w="3168" w:type="dxa"/>
          </w:tcPr>
          <w:p w:rsidR="003D3341" w:rsidRDefault="00220F06" w:rsidP="00A17658">
            <w:pPr>
              <w:spacing w:line="240" w:lineRule="auto"/>
              <w:jc w:val="center"/>
            </w:pPr>
            <w:r w:rsidRPr="000A45CA">
              <w:rPr>
                <w:rFonts w:ascii="Symbol" w:hAnsi="Symbol"/>
              </w:rPr>
              <w:t></w:t>
            </w:r>
            <w:r>
              <w:t>C-H</w:t>
            </w:r>
          </w:p>
        </w:tc>
        <w:tc>
          <w:tcPr>
            <w:tcW w:w="4950" w:type="dxa"/>
          </w:tcPr>
          <w:p w:rsidR="003D3341" w:rsidRDefault="00220F06" w:rsidP="00A17658">
            <w:pPr>
              <w:spacing w:line="240" w:lineRule="auto"/>
            </w:pPr>
            <w:r>
              <w:t>1350 – 1450, medium to strong</w:t>
            </w:r>
          </w:p>
        </w:tc>
      </w:tr>
      <w:tr w:rsidR="003D3341">
        <w:tc>
          <w:tcPr>
            <w:tcW w:w="3168" w:type="dxa"/>
          </w:tcPr>
          <w:p w:rsidR="003D3341" w:rsidRDefault="00220F06" w:rsidP="00A17658">
            <w:pPr>
              <w:spacing w:line="240" w:lineRule="auto"/>
              <w:jc w:val="center"/>
            </w:pPr>
            <w:r w:rsidRPr="000A45CA">
              <w:rPr>
                <w:rFonts w:ascii="Symbol" w:hAnsi="Symbol"/>
              </w:rPr>
              <w:t></w:t>
            </w:r>
            <w:r>
              <w:t>V-O</w:t>
            </w:r>
          </w:p>
        </w:tc>
        <w:tc>
          <w:tcPr>
            <w:tcW w:w="4950" w:type="dxa"/>
          </w:tcPr>
          <w:p w:rsidR="003D3341" w:rsidRDefault="00220F06" w:rsidP="00A17658">
            <w:pPr>
              <w:spacing w:line="240" w:lineRule="auto"/>
            </w:pPr>
            <w:r>
              <w:t>500 – 1000, small to medium, group of bands</w:t>
            </w:r>
          </w:p>
        </w:tc>
      </w:tr>
    </w:tbl>
    <w:p w:rsidR="00532CF1" w:rsidRDefault="00FF016C" w:rsidP="00745A54">
      <w:pPr>
        <w:spacing w:after="0" w:line="276" w:lineRule="auto"/>
        <w:rPr>
          <w:i/>
        </w:rPr>
      </w:pPr>
    </w:p>
    <w:p w:rsidR="00745A54" w:rsidRPr="00745A54" w:rsidRDefault="00220F06" w:rsidP="00745A54">
      <w:pPr>
        <w:spacing w:after="0" w:line="276" w:lineRule="auto"/>
        <w:rPr>
          <w:i/>
        </w:rPr>
      </w:pPr>
      <w:r w:rsidRPr="00745A54">
        <w:rPr>
          <w:i/>
        </w:rPr>
        <w:t>Permanganate Titration of (NH</w:t>
      </w:r>
      <w:r w:rsidRPr="00745A54">
        <w:rPr>
          <w:i/>
          <w:vertAlign w:val="subscript"/>
        </w:rPr>
        <w:t>4</w:t>
      </w:r>
      <w:r w:rsidRPr="00745A54">
        <w:rPr>
          <w:i/>
        </w:rPr>
        <w:t>)</w:t>
      </w:r>
      <w:r w:rsidRPr="00745A54">
        <w:rPr>
          <w:i/>
          <w:vertAlign w:val="subscript"/>
        </w:rPr>
        <w:t>6</w:t>
      </w:r>
      <w:r w:rsidRPr="00745A54">
        <w:rPr>
          <w:i/>
        </w:rPr>
        <w:t>V</w:t>
      </w:r>
      <w:r w:rsidRPr="00745A54">
        <w:rPr>
          <w:i/>
          <w:vertAlign w:val="subscript"/>
        </w:rPr>
        <w:t>10</w:t>
      </w:r>
      <w:r w:rsidRPr="00745A54">
        <w:rPr>
          <w:i/>
        </w:rPr>
        <w:t>O</w:t>
      </w:r>
      <w:r w:rsidRPr="00745A54">
        <w:rPr>
          <w:i/>
          <w:vertAlign w:val="subscript"/>
        </w:rPr>
        <w:t>28</w:t>
      </w:r>
      <w:r w:rsidRPr="00745A54">
        <w:rPr>
          <w:i/>
        </w:rPr>
        <w:t>•6H</w:t>
      </w:r>
      <w:r w:rsidRPr="00745A54">
        <w:rPr>
          <w:i/>
          <w:vertAlign w:val="subscript"/>
        </w:rPr>
        <w:t>2</w:t>
      </w:r>
      <w:r w:rsidRPr="00745A54">
        <w:rPr>
          <w:i/>
        </w:rPr>
        <w:t>O</w:t>
      </w:r>
    </w:p>
    <w:p w:rsidR="00744558" w:rsidRDefault="00220F06" w:rsidP="00F71FA6">
      <w:pPr>
        <w:spacing w:line="276" w:lineRule="auto"/>
      </w:pPr>
      <w:r>
        <w:tab/>
        <w:t>First, create your working solution of KMnO</w:t>
      </w:r>
      <w:r w:rsidRPr="00E86A9D">
        <w:rPr>
          <w:vertAlign w:val="subscript"/>
        </w:rPr>
        <w:t>4</w:t>
      </w:r>
      <w:r>
        <w:t>: Dilute the stock 0.10 M KMnO</w:t>
      </w:r>
      <w:r w:rsidRPr="00E86A9D">
        <w:rPr>
          <w:vertAlign w:val="subscript"/>
        </w:rPr>
        <w:t>4</w:t>
      </w:r>
      <w:r>
        <w:t xml:space="preserve"> solution with DI water in a clean Florence flask to a final concentration of 0.002 M and a final volume of 250. mL. Load the 0.002 M KMnO</w:t>
      </w:r>
      <w:r w:rsidRPr="00744558">
        <w:rPr>
          <w:vertAlign w:val="subscript"/>
        </w:rPr>
        <w:t>4</w:t>
      </w:r>
      <w:r>
        <w:t xml:space="preserve"> solution into a buret. </w:t>
      </w:r>
    </w:p>
    <w:p w:rsidR="00744558" w:rsidRDefault="00220F06" w:rsidP="00744558">
      <w:pPr>
        <w:spacing w:line="276" w:lineRule="auto"/>
        <w:ind w:firstLine="720"/>
      </w:pPr>
      <w:r>
        <w:t xml:space="preserve">Create a standard solution of oxalic acid (0.01 M): Weigh out oxalic acid dihydrate into a clean 100 mL beaker, add 50. mL 1.0 M sulfuric acid and swirl to dissolve. Quantitatively transfer the solution to a clean 100. mL volumetric flask and dilute to the mark. Set aside the </w:t>
      </w:r>
      <w:r>
        <w:lastRenderedPageBreak/>
        <w:t>oxalic acid solution into a clean dry 250 mL Erlenmeyer flask and cover with parafilm. Calculate the exact concentration of this solution.</w:t>
      </w:r>
    </w:p>
    <w:p w:rsidR="0050489A" w:rsidRDefault="00220F06" w:rsidP="00744558">
      <w:pPr>
        <w:spacing w:line="276" w:lineRule="auto"/>
        <w:ind w:firstLine="720"/>
      </w:pPr>
      <w:r>
        <w:t>Standardize the KMnO</w:t>
      </w:r>
      <w:r w:rsidRPr="00744558">
        <w:rPr>
          <w:vertAlign w:val="subscript"/>
        </w:rPr>
        <w:t>4</w:t>
      </w:r>
      <w:r>
        <w:t xml:space="preserve"> solution with three 10 mL portions of standard oxalic acid solution. Heat oxalic acid solution to 40°C for each titration to minimize formation of muddy brown MnO</w:t>
      </w:r>
      <w:r w:rsidRPr="00831FD5">
        <w:rPr>
          <w:vertAlign w:val="subscript"/>
        </w:rPr>
        <w:t>2</w:t>
      </w:r>
      <w:r>
        <w:t>. Calculate the concentration of the permanganate solution for all three titrations and average the result.</w:t>
      </w:r>
    </w:p>
    <w:p w:rsidR="006C5D47" w:rsidRDefault="00220F06" w:rsidP="00962EEF">
      <w:pPr>
        <w:spacing w:line="276" w:lineRule="auto"/>
        <w:ind w:firstLine="720"/>
      </w:pPr>
      <w:r>
        <w:t>Weigh out 0.1g of your product into a clean 50 mL beaker. Add 7 mL 1.0 M sulfuric acid and 10 mL DI water. Weigh out 0.1g NaHSO</w:t>
      </w:r>
      <w:r w:rsidRPr="00744558">
        <w:rPr>
          <w:vertAlign w:val="subscript"/>
        </w:rPr>
        <w:t>3</w:t>
      </w:r>
      <w:r>
        <w:t xml:space="preserve"> (sodium bisulfite); add to beaker IN HOOD; stir gently for five minutes, and boil gently for 15 minutes. CAUTION: This reaction creates SO</w:t>
      </w:r>
      <w:r w:rsidRPr="00744558">
        <w:rPr>
          <w:vertAlign w:val="subscript"/>
        </w:rPr>
        <w:t>3</w:t>
      </w:r>
      <w:r>
        <w:t xml:space="preserve"> gas – keep in hood and do NOT inhale!! When cool, remove from hood and dilute to 100 mL with DI water in a clean volumetric flask. Three times, titrate a warmed (about 40°C) 20.0 mL aliquot of this solution with the standardized KMnO</w:t>
      </w:r>
      <w:r w:rsidRPr="000C17AF">
        <w:rPr>
          <w:vertAlign w:val="subscript"/>
        </w:rPr>
        <w:t>4</w:t>
      </w:r>
      <w:r>
        <w:t xml:space="preserve"> solution (bright blue, dilutes to pale, titrates to pale yellow; add 1-2 drops past pale yellow stage for pink endpoint). Calculate percent vanadium in your sample for all three titrations and average the result; compare to theoretical value.</w:t>
      </w:r>
    </w:p>
    <w:p w:rsidR="003D3341" w:rsidRDefault="00FF016C">
      <w:pPr>
        <w:spacing w:line="276" w:lineRule="auto"/>
        <w:rPr>
          <w:b/>
        </w:rPr>
      </w:pPr>
    </w:p>
    <w:sectPr w:rsidR="003D3341" w:rsidSect="00D04CC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6C" w:rsidRDefault="00FF016C" w:rsidP="00C97AA4">
      <w:pPr>
        <w:spacing w:after="0" w:line="240" w:lineRule="auto"/>
      </w:pPr>
      <w:r>
        <w:separator/>
      </w:r>
    </w:p>
  </w:endnote>
  <w:endnote w:type="continuationSeparator" w:id="0">
    <w:p w:rsidR="00FF016C" w:rsidRDefault="00FF016C" w:rsidP="00C9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873907"/>
      <w:docPartObj>
        <w:docPartGallery w:val="Page Numbers (Bottom of Page)"/>
        <w:docPartUnique/>
      </w:docPartObj>
    </w:sdtPr>
    <w:sdtEndPr/>
    <w:sdtContent>
      <w:p w:rsidR="00C97AA4" w:rsidRDefault="00FF016C">
        <w:pPr>
          <w:pStyle w:val="Footer"/>
          <w:jc w:val="center"/>
        </w:pPr>
        <w:r>
          <w:fldChar w:fldCharType="begin"/>
        </w:r>
        <w:r>
          <w:instrText xml:space="preserve"> PAGE   \* MERGEFORMAT </w:instrText>
        </w:r>
        <w:r>
          <w:fldChar w:fldCharType="separate"/>
        </w:r>
        <w:r w:rsidR="008C12E4">
          <w:rPr>
            <w:noProof/>
          </w:rPr>
          <w:t>1</w:t>
        </w:r>
        <w:r>
          <w:rPr>
            <w:noProof/>
          </w:rPr>
          <w:fldChar w:fldCharType="end"/>
        </w:r>
      </w:p>
    </w:sdtContent>
  </w:sdt>
  <w:p w:rsidR="00C97AA4" w:rsidRDefault="00FF0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6C" w:rsidRDefault="00FF016C" w:rsidP="00C97AA4">
      <w:pPr>
        <w:spacing w:after="0" w:line="240" w:lineRule="auto"/>
      </w:pPr>
      <w:r>
        <w:separator/>
      </w:r>
    </w:p>
  </w:footnote>
  <w:footnote w:type="continuationSeparator" w:id="0">
    <w:p w:rsidR="00FF016C" w:rsidRDefault="00FF016C" w:rsidP="00C97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47" w:rsidRPr="006F6698" w:rsidRDefault="00220F06">
    <w:pPr>
      <w:pStyle w:val="Header"/>
    </w:pPr>
    <w:r w:rsidRPr="006F6698">
      <w:rPr>
        <w:rFonts w:eastAsia="Times New Roman"/>
        <w:color w:val="333333"/>
        <w:sz w:val="18"/>
        <w:szCs w:val="18"/>
        <w:shd w:val="clear" w:color="auto" w:fill="F5F4F6"/>
      </w:rPr>
      <w:t xml:space="preserve">Created by Sabrina G. Sobel, Hofstra University, </w:t>
    </w:r>
    <w:hyperlink r:id="rId1" w:history="1">
      <w:r w:rsidRPr="006F6698">
        <w:rPr>
          <w:rStyle w:val="Hyperlink"/>
          <w:rFonts w:eastAsia="Times New Roman"/>
          <w:sz w:val="18"/>
          <w:szCs w:val="18"/>
          <w:shd w:val="clear" w:color="auto" w:fill="F5F4F6"/>
        </w:rPr>
        <w:t>Sabrina.Sobel@hofstra,edu</w:t>
      </w:r>
    </w:hyperlink>
    <w:r w:rsidRPr="006F6698">
      <w:rPr>
        <w:rFonts w:eastAsia="Times New Roman"/>
        <w:color w:val="333333"/>
        <w:sz w:val="18"/>
        <w:szCs w:val="18"/>
        <w:shd w:val="clear" w:color="auto" w:fill="F5F4F6"/>
      </w:rPr>
      <w:t xml:space="preserve"> and posted on VIPEr </w:t>
    </w:r>
    <w:hyperlink r:id="rId2" w:history="1">
      <w:r w:rsidRPr="006F6698">
        <w:rPr>
          <w:rStyle w:val="Hyperlink"/>
          <w:rFonts w:eastAsia="Times New Roman"/>
          <w:color w:val="044F0A"/>
          <w:sz w:val="18"/>
          <w:szCs w:val="18"/>
          <w:shd w:val="clear" w:color="auto" w:fill="F5F4F6"/>
        </w:rPr>
        <w:t>(</w:t>
      </w:r>
    </w:hyperlink>
    <w:hyperlink r:id="rId3" w:tooltip="www.ionicviper.org" w:history="1">
      <w:r w:rsidRPr="006F6698">
        <w:rPr>
          <w:rStyle w:val="Hyperlink"/>
          <w:rFonts w:eastAsia="Times New Roman"/>
          <w:color w:val="044F0A"/>
          <w:sz w:val="18"/>
          <w:szCs w:val="18"/>
          <w:shd w:val="clear" w:color="auto" w:fill="F5F4F6"/>
        </w:rPr>
        <w:t>www.ionicviper.org</w:t>
      </w:r>
    </w:hyperlink>
    <w:r w:rsidRPr="006F6698">
      <w:rPr>
        <w:rFonts w:eastAsia="Times New Roman"/>
        <w:color w:val="333333"/>
        <w:sz w:val="18"/>
        <w:szCs w:val="18"/>
        <w:shd w:val="clear" w:color="auto" w:fill="F5F4F6"/>
      </w:rPr>
      <w:t xml:space="preserve">) on June 28, 2013, Copyright Sabrina G. Sobel, 2013. This work is licensed under the Creative Commons </w:t>
    </w:r>
    <w:r w:rsidRPr="006F6698">
      <w:rPr>
        <w:color w:val="000000"/>
        <w:sz w:val="18"/>
        <w:szCs w:val="20"/>
      </w:rPr>
      <w:t>Attribution-NonCommerical-ShareAlike 3.0 Unported</w:t>
    </w:r>
    <w:r w:rsidRPr="006F6698">
      <w:rPr>
        <w:color w:val="000000"/>
        <w:sz w:val="22"/>
      </w:rPr>
      <w:t xml:space="preserve"> </w:t>
    </w:r>
    <w:r w:rsidRPr="006F6698">
      <w:rPr>
        <w:rFonts w:eastAsia="Times New Roman"/>
        <w:color w:val="333333"/>
        <w:sz w:val="18"/>
        <w:szCs w:val="18"/>
        <w:shd w:val="clear" w:color="auto" w:fill="F5F4F6"/>
      </w:rPr>
      <w:t xml:space="preserve">License. To view a copy of this license visit </w:t>
    </w:r>
    <w:hyperlink r:id="rId4" w:history="1">
      <w:r w:rsidRPr="006F6698">
        <w:rPr>
          <w:rStyle w:val="Hyperlink"/>
          <w:rFonts w:eastAsia="Times New Roman"/>
          <w:sz w:val="18"/>
          <w:szCs w:val="18"/>
          <w:shd w:val="clear" w:color="auto" w:fill="F5F4F6"/>
        </w:rPr>
        <w:t>http://creativecommons.org/about/license/</w:t>
      </w:r>
    </w:hyperlink>
    <w:r w:rsidRPr="006F6698">
      <w:rPr>
        <w:rFonts w:eastAsia="Times New Roman"/>
        <w:color w:val="333333"/>
        <w:sz w:val="18"/>
        <w:szCs w:val="18"/>
        <w:shd w:val="clear" w:color="auto" w:fill="F5F4F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916"/>
    <w:multiLevelType w:val="hybridMultilevel"/>
    <w:tmpl w:val="7C6E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43482"/>
    <w:multiLevelType w:val="hybridMultilevel"/>
    <w:tmpl w:val="FC46B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3A"/>
    <w:rsid w:val="00220F06"/>
    <w:rsid w:val="008C12E4"/>
    <w:rsid w:val="00F4773A"/>
    <w:rsid w:val="00FF01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heme="minorHAnsi" w:hAnsi="Times New (W1)"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3A"/>
    <w:pPr>
      <w:spacing w:line="480" w:lineRule="auto"/>
    </w:pPr>
    <w:rPr>
      <w:rFonts w:ascii="Times New Roman" w:eastAsia="Calibr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3A"/>
    <w:rPr>
      <w:rFonts w:ascii="Tahoma" w:eastAsia="Calibri" w:hAnsi="Tahoma" w:cs="Tahoma"/>
      <w:sz w:val="16"/>
      <w:szCs w:val="16"/>
    </w:rPr>
  </w:style>
  <w:style w:type="character" w:styleId="Hyperlink">
    <w:name w:val="Hyperlink"/>
    <w:basedOn w:val="DefaultParagraphFont"/>
    <w:uiPriority w:val="99"/>
    <w:unhideWhenUsed/>
    <w:rsid w:val="00A53255"/>
    <w:rPr>
      <w:color w:val="0000FF" w:themeColor="hyperlink"/>
      <w:u w:val="single"/>
    </w:rPr>
  </w:style>
  <w:style w:type="table" w:styleId="TableGrid">
    <w:name w:val="Table Grid"/>
    <w:basedOn w:val="TableNormal"/>
    <w:uiPriority w:val="59"/>
    <w:rsid w:val="006C5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945"/>
    <w:pPr>
      <w:ind w:left="720"/>
      <w:contextualSpacing/>
    </w:pPr>
  </w:style>
  <w:style w:type="paragraph" w:styleId="Header">
    <w:name w:val="header"/>
    <w:basedOn w:val="Normal"/>
    <w:link w:val="HeaderChar"/>
    <w:uiPriority w:val="99"/>
    <w:unhideWhenUsed/>
    <w:rsid w:val="00C9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A4"/>
    <w:rPr>
      <w:rFonts w:ascii="Times New Roman" w:eastAsia="Calibri" w:hAnsi="Times New Roman"/>
    </w:rPr>
  </w:style>
  <w:style w:type="paragraph" w:styleId="Footer">
    <w:name w:val="footer"/>
    <w:basedOn w:val="Normal"/>
    <w:link w:val="FooterChar"/>
    <w:uiPriority w:val="99"/>
    <w:unhideWhenUsed/>
    <w:rsid w:val="00C9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A4"/>
    <w:rPr>
      <w:rFonts w:ascii="Times New Roman" w:eastAsia="Calibri" w:hAnsi="Times New Roman"/>
    </w:rPr>
  </w:style>
  <w:style w:type="character" w:styleId="FollowedHyperlink">
    <w:name w:val="FollowedHyperlink"/>
    <w:basedOn w:val="DefaultParagraphFont"/>
    <w:uiPriority w:val="99"/>
    <w:semiHidden/>
    <w:unhideWhenUsed/>
    <w:rsid w:val="00AC5E81"/>
    <w:rPr>
      <w:color w:val="800080" w:themeColor="followedHyperlink"/>
      <w:u w:val="single"/>
    </w:rPr>
  </w:style>
  <w:style w:type="character" w:styleId="Strong">
    <w:name w:val="Strong"/>
    <w:basedOn w:val="DefaultParagraphFont"/>
    <w:uiPriority w:val="22"/>
    <w:qFormat/>
    <w:rsid w:val="003212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heme="minorHAnsi" w:hAnsi="Times New (W1)"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3A"/>
    <w:pPr>
      <w:spacing w:line="480" w:lineRule="auto"/>
    </w:pPr>
    <w:rPr>
      <w:rFonts w:ascii="Times New Roman" w:eastAsia="Calibri"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3A"/>
    <w:rPr>
      <w:rFonts w:ascii="Tahoma" w:eastAsia="Calibri" w:hAnsi="Tahoma" w:cs="Tahoma"/>
      <w:sz w:val="16"/>
      <w:szCs w:val="16"/>
    </w:rPr>
  </w:style>
  <w:style w:type="character" w:styleId="Hyperlink">
    <w:name w:val="Hyperlink"/>
    <w:basedOn w:val="DefaultParagraphFont"/>
    <w:uiPriority w:val="99"/>
    <w:unhideWhenUsed/>
    <w:rsid w:val="00A53255"/>
    <w:rPr>
      <w:color w:val="0000FF" w:themeColor="hyperlink"/>
      <w:u w:val="single"/>
    </w:rPr>
  </w:style>
  <w:style w:type="table" w:styleId="TableGrid">
    <w:name w:val="Table Grid"/>
    <w:basedOn w:val="TableNormal"/>
    <w:uiPriority w:val="59"/>
    <w:rsid w:val="006C5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945"/>
    <w:pPr>
      <w:ind w:left="720"/>
      <w:contextualSpacing/>
    </w:pPr>
  </w:style>
  <w:style w:type="paragraph" w:styleId="Header">
    <w:name w:val="header"/>
    <w:basedOn w:val="Normal"/>
    <w:link w:val="HeaderChar"/>
    <w:uiPriority w:val="99"/>
    <w:unhideWhenUsed/>
    <w:rsid w:val="00C9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A4"/>
    <w:rPr>
      <w:rFonts w:ascii="Times New Roman" w:eastAsia="Calibri" w:hAnsi="Times New Roman"/>
    </w:rPr>
  </w:style>
  <w:style w:type="paragraph" w:styleId="Footer">
    <w:name w:val="footer"/>
    <w:basedOn w:val="Normal"/>
    <w:link w:val="FooterChar"/>
    <w:uiPriority w:val="99"/>
    <w:unhideWhenUsed/>
    <w:rsid w:val="00C9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A4"/>
    <w:rPr>
      <w:rFonts w:ascii="Times New Roman" w:eastAsia="Calibri" w:hAnsi="Times New Roman"/>
    </w:rPr>
  </w:style>
  <w:style w:type="character" w:styleId="FollowedHyperlink">
    <w:name w:val="FollowedHyperlink"/>
    <w:basedOn w:val="DefaultParagraphFont"/>
    <w:uiPriority w:val="99"/>
    <w:semiHidden/>
    <w:unhideWhenUsed/>
    <w:rsid w:val="00AC5E81"/>
    <w:rPr>
      <w:color w:val="800080" w:themeColor="followedHyperlink"/>
      <w:u w:val="single"/>
    </w:rPr>
  </w:style>
  <w:style w:type="character" w:styleId="Strong">
    <w:name w:val="Strong"/>
    <w:basedOn w:val="DefaultParagraphFont"/>
    <w:uiPriority w:val="22"/>
    <w:qFormat/>
    <w:rsid w:val="00321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7498">
      <w:bodyDiv w:val="1"/>
      <w:marLeft w:val="0"/>
      <w:marRight w:val="0"/>
      <w:marTop w:val="0"/>
      <w:marBottom w:val="0"/>
      <w:divBdr>
        <w:top w:val="none" w:sz="0" w:space="0" w:color="auto"/>
        <w:left w:val="none" w:sz="0" w:space="0" w:color="auto"/>
        <w:bottom w:val="none" w:sz="0" w:space="0" w:color="auto"/>
        <w:right w:val="none" w:sz="0" w:space="0" w:color="auto"/>
      </w:divBdr>
    </w:div>
    <w:div w:id="471025278">
      <w:bodyDiv w:val="1"/>
      <w:marLeft w:val="0"/>
      <w:marRight w:val="0"/>
      <w:marTop w:val="0"/>
      <w:marBottom w:val="0"/>
      <w:divBdr>
        <w:top w:val="none" w:sz="0" w:space="0" w:color="auto"/>
        <w:left w:val="none" w:sz="0" w:space="0" w:color="auto"/>
        <w:bottom w:val="none" w:sz="0" w:space="0" w:color="auto"/>
        <w:right w:val="none" w:sz="0" w:space="0" w:color="auto"/>
      </w:divBdr>
    </w:div>
    <w:div w:id="5785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indat.org" TargetMode="External"/><Relationship Id="rId14" Type="http://schemas.openxmlformats.org/officeDocument/2006/relationships/hyperlink" Target="http://www.chem.ualberta.ca/~inorglab/spectut/TblofCont.htm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2" Type="http://schemas.openxmlformats.org/officeDocument/2006/relationships/hyperlink" Target="http://www.ionicviper.org/" TargetMode="External"/><Relationship Id="rId1" Type="http://schemas.openxmlformats.org/officeDocument/2006/relationships/hyperlink" Target="mailto:Sabrina.Sobel@hofstra,edu" TargetMode="External"/><Relationship Id="rId4"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LENOVO CUSTOMER</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Sobel</dc:creator>
  <cp:lastModifiedBy>Sabrina G. Sobel</cp:lastModifiedBy>
  <cp:revision>2</cp:revision>
  <cp:lastPrinted>2013-06-27T14:37:00Z</cp:lastPrinted>
  <dcterms:created xsi:type="dcterms:W3CDTF">2013-06-27T18:51:00Z</dcterms:created>
  <dcterms:modified xsi:type="dcterms:W3CDTF">2013-06-27T18:51:00Z</dcterms:modified>
</cp:coreProperties>
</file>