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93E72" w14:textId="77777777" w:rsidR="00E02375" w:rsidRDefault="0083428F" w:rsidP="00E02375">
      <w:r>
        <w:t>Reading</w:t>
      </w:r>
      <w:r w:rsidR="00216A45">
        <w:t xml:space="preserve"> </w:t>
      </w:r>
      <w:r>
        <w:t xml:space="preserve">Guide </w:t>
      </w:r>
      <w:r w:rsidR="00712D35" w:rsidRPr="00712D35">
        <w:rPr>
          <w:rFonts w:cs="Times New Roman (Body CS)"/>
          <w:b/>
          <w:bCs/>
          <w:caps/>
          <w:color w:val="FF0000"/>
        </w:rPr>
        <w:t>answer key</w:t>
      </w:r>
      <w:r w:rsidR="00712D35">
        <w:rPr>
          <w:b/>
          <w:bCs/>
          <w:color w:val="FF0000"/>
        </w:rPr>
        <w:t xml:space="preserve"> </w:t>
      </w:r>
      <w:r>
        <w:t xml:space="preserve">for </w:t>
      </w:r>
    </w:p>
    <w:p w14:paraId="6D8D9DA3" w14:textId="77777777" w:rsidR="00E02375" w:rsidRPr="00E02375" w:rsidRDefault="00E02375" w:rsidP="00E02375">
      <w:pPr>
        <w:rPr>
          <w:b/>
          <w:bCs/>
        </w:rPr>
      </w:pPr>
      <w:r w:rsidRPr="00E02375">
        <w:t>“</w:t>
      </w:r>
      <w:r w:rsidR="007B0C2A" w:rsidRPr="007B0C2A">
        <w:rPr>
          <w:b/>
          <w:bCs/>
        </w:rPr>
        <w:t xml:space="preserve">Synthesis of Ti Complexes Supported by an </w:t>
      </w:r>
      <w:r w:rsidR="007B0C2A" w:rsidRPr="007B0C2A">
        <w:rPr>
          <w:b/>
          <w:bCs/>
          <w:i/>
          <w:iCs/>
        </w:rPr>
        <w:t>ortho</w:t>
      </w:r>
      <w:r w:rsidR="007B0C2A" w:rsidRPr="007B0C2A">
        <w:rPr>
          <w:b/>
          <w:bCs/>
        </w:rPr>
        <w:t>-</w:t>
      </w:r>
      <w:proofErr w:type="spellStart"/>
      <w:r w:rsidR="007B0C2A" w:rsidRPr="007B0C2A">
        <w:rPr>
          <w:b/>
          <w:bCs/>
        </w:rPr>
        <w:t>Terphenoxide</w:t>
      </w:r>
      <w:proofErr w:type="spellEnd"/>
      <w:r w:rsidR="007B0C2A" w:rsidRPr="007B0C2A">
        <w:rPr>
          <w:b/>
          <w:bCs/>
        </w:rPr>
        <w:t xml:space="preserve"> Ligand and Their Applications in Alkyne Hydroamination Catalysis</w:t>
      </w:r>
      <w:r>
        <w:rPr>
          <w:b/>
          <w:bCs/>
        </w:rPr>
        <w:t>.</w:t>
      </w:r>
      <w:r w:rsidRPr="00E02375">
        <w:t>”</w:t>
      </w:r>
      <w:r>
        <w:rPr>
          <w:b/>
          <w:bCs/>
        </w:rPr>
        <w:t xml:space="preserve"> </w:t>
      </w:r>
      <w:r w:rsidR="007B0C2A">
        <w:t>Butler, S. K.; Ashbrook, E. P.; and Tonks, I. A.</w:t>
      </w:r>
      <w:r>
        <w:t xml:space="preserve"> </w:t>
      </w:r>
      <w:r w:rsidRPr="00E02375">
        <w:rPr>
          <w:i/>
          <w:iCs/>
        </w:rPr>
        <w:t>Organometallics</w:t>
      </w:r>
      <w:r>
        <w:t xml:space="preserve">, </w:t>
      </w:r>
      <w:r w:rsidRPr="00E02375">
        <w:rPr>
          <w:b/>
          <w:bCs/>
        </w:rPr>
        <w:t>202</w:t>
      </w:r>
      <w:r w:rsidR="007B0C2A">
        <w:rPr>
          <w:b/>
          <w:bCs/>
        </w:rPr>
        <w:t>3</w:t>
      </w:r>
      <w:r>
        <w:t xml:space="preserve">, </w:t>
      </w:r>
      <w:r w:rsidRPr="00E02375">
        <w:rPr>
          <w:i/>
          <w:iCs/>
        </w:rPr>
        <w:t>4</w:t>
      </w:r>
      <w:r w:rsidR="007B0C2A">
        <w:rPr>
          <w:i/>
          <w:iCs/>
        </w:rPr>
        <w:t>2</w:t>
      </w:r>
      <w:r>
        <w:t xml:space="preserve">, </w:t>
      </w:r>
      <w:r w:rsidR="007B0C2A">
        <w:t>1732-1739</w:t>
      </w:r>
      <w:r>
        <w:t>.</w:t>
      </w:r>
    </w:p>
    <w:p w14:paraId="6CE56A93" w14:textId="77777777" w:rsidR="00021258" w:rsidRDefault="00E02375">
      <w:r>
        <w:t>DOI</w:t>
      </w:r>
      <w:r w:rsidR="007B0C2A">
        <w:t xml:space="preserve">: </w:t>
      </w:r>
      <w:hyperlink r:id="rId7" w:history="1">
        <w:r w:rsidR="007B0C2A" w:rsidRPr="00296C7B">
          <w:rPr>
            <w:rStyle w:val="Hyperlink"/>
          </w:rPr>
          <w:t>https://doi.org/10.1021/acs.organomet.2c00593</w:t>
        </w:r>
      </w:hyperlink>
      <w:r w:rsidR="007B0C2A">
        <w:t xml:space="preserve"> </w:t>
      </w:r>
    </w:p>
    <w:p w14:paraId="38368D0D" w14:textId="77777777" w:rsidR="00E4068F" w:rsidRDefault="00E4068F"/>
    <w:p w14:paraId="1FCE0B1C" w14:textId="77777777" w:rsidR="009B6FB1" w:rsidRPr="00676F74" w:rsidRDefault="00211819" w:rsidP="00194AE4">
      <w:pPr>
        <w:jc w:val="both"/>
        <w:rPr>
          <w:b/>
          <w:bCs/>
        </w:rPr>
      </w:pPr>
      <w:r w:rsidRPr="00676F74">
        <w:rPr>
          <w:b/>
          <w:bCs/>
        </w:rPr>
        <w:t>Background</w:t>
      </w:r>
    </w:p>
    <w:p w14:paraId="3E8CED6A" w14:textId="77777777" w:rsidR="00211819" w:rsidRDefault="00676F74" w:rsidP="00676F74">
      <w:r>
        <w:t xml:space="preserve">Although it is not stated in the paper, the Tonks research group has pushed the study of group IV, especially titanium, complexes. </w:t>
      </w:r>
      <w:r w:rsidR="0005447F">
        <w:t xml:space="preserve">A) </w:t>
      </w:r>
      <w:r>
        <w:t>What is the interest in studying titanium as opposed to other elements?</w:t>
      </w:r>
      <w:r w:rsidR="0005447F">
        <w:t xml:space="preserve"> B) Why did the authors carry out this study?</w:t>
      </w:r>
    </w:p>
    <w:p w14:paraId="3F7CD6D9" w14:textId="77777777" w:rsidR="0005447F" w:rsidRDefault="0005447F" w:rsidP="0005447F"/>
    <w:p w14:paraId="334B066B" w14:textId="77777777" w:rsidR="00F00869" w:rsidRDefault="00F00869" w:rsidP="0005447F"/>
    <w:p w14:paraId="60420A90" w14:textId="77777777" w:rsidR="00F00869" w:rsidRDefault="00F00869" w:rsidP="0005447F"/>
    <w:p w14:paraId="609C3264" w14:textId="77777777" w:rsidR="00F00869" w:rsidRDefault="00F00869" w:rsidP="0005447F"/>
    <w:p w14:paraId="63461EBC" w14:textId="77777777" w:rsidR="00F00869" w:rsidRDefault="00F00869" w:rsidP="0005447F"/>
    <w:p w14:paraId="3B44C4DC" w14:textId="7A68DBB8" w:rsidR="00550D45" w:rsidRPr="00C27FDF" w:rsidRDefault="00550D45" w:rsidP="00550D45">
      <w:pPr>
        <w:rPr>
          <w:bCs/>
        </w:rPr>
      </w:pPr>
      <w:r>
        <w:t xml:space="preserve">Classify complexes </w:t>
      </w:r>
      <w:r>
        <w:rPr>
          <w:b/>
          <w:bCs/>
        </w:rPr>
        <w:t>2</w:t>
      </w:r>
      <w:r>
        <w:t xml:space="preserve">, and </w:t>
      </w:r>
      <w:r>
        <w:rPr>
          <w:b/>
          <w:bCs/>
        </w:rPr>
        <w:t xml:space="preserve">4 </w:t>
      </w:r>
      <w:r>
        <w:t>by the CBC method.</w:t>
      </w:r>
      <w:r>
        <w:rPr>
          <w:bCs/>
        </w:rPr>
        <w:t xml:space="preserve"> Include the VN, LBN, d</w:t>
      </w:r>
      <w:r>
        <w:rPr>
          <w:bCs/>
          <w:vertAlign w:val="superscript"/>
        </w:rPr>
        <w:t>n</w:t>
      </w:r>
      <w:r>
        <w:rPr>
          <w:bCs/>
        </w:rPr>
        <w:t xml:space="preserve"> count and total valence electron count of these molecules. Complex </w:t>
      </w:r>
      <w:r>
        <w:rPr>
          <w:b/>
        </w:rPr>
        <w:t>4</w:t>
      </w:r>
      <w:r>
        <w:rPr>
          <w:bCs/>
        </w:rPr>
        <w:t xml:space="preserve"> is obtained from complex </w:t>
      </w:r>
      <w:r>
        <w:rPr>
          <w:b/>
        </w:rPr>
        <w:t>2</w:t>
      </w:r>
      <w:r>
        <w:rPr>
          <w:bCs/>
        </w:rPr>
        <w:t xml:space="preserve"> by adding the strong reducing agent KC</w:t>
      </w:r>
      <w:r>
        <w:rPr>
          <w:bCs/>
          <w:vertAlign w:val="subscript"/>
        </w:rPr>
        <w:t>8</w:t>
      </w:r>
      <w:r>
        <w:rPr>
          <w:bCs/>
        </w:rPr>
        <w:t xml:space="preserve"> (essentially potassium metal). Is the valence number of </w:t>
      </w:r>
      <w:r>
        <w:rPr>
          <w:b/>
        </w:rPr>
        <w:t>4</w:t>
      </w:r>
      <w:r>
        <w:rPr>
          <w:bCs/>
        </w:rPr>
        <w:t xml:space="preserve"> actually lower than that of </w:t>
      </w:r>
      <w:r>
        <w:rPr>
          <w:b/>
        </w:rPr>
        <w:t>2</w:t>
      </w:r>
      <w:r>
        <w:rPr>
          <w:bCs/>
        </w:rPr>
        <w:t>? In other words, did the stron</w:t>
      </w:r>
      <w:r>
        <w:rPr>
          <w:bCs/>
        </w:rPr>
        <w:t>g</w:t>
      </w:r>
      <w:r>
        <w:rPr>
          <w:bCs/>
        </w:rPr>
        <w:t xml:space="preserve"> reducing agent reduce the Ti center?</w:t>
      </w:r>
    </w:p>
    <w:p w14:paraId="2D383107" w14:textId="77777777" w:rsidR="00F00869" w:rsidRDefault="00F00869" w:rsidP="00676F74">
      <w:pPr>
        <w:rPr>
          <w:b/>
          <w:color w:val="FF0000"/>
        </w:rPr>
      </w:pPr>
    </w:p>
    <w:p w14:paraId="5FBDA72B" w14:textId="77777777" w:rsidR="00F00869" w:rsidRDefault="00F00869" w:rsidP="00676F74">
      <w:pPr>
        <w:rPr>
          <w:b/>
          <w:color w:val="FF0000"/>
        </w:rPr>
      </w:pPr>
    </w:p>
    <w:p w14:paraId="09C2FD5B" w14:textId="77777777" w:rsidR="00F00869" w:rsidRDefault="00F00869" w:rsidP="00676F74">
      <w:pPr>
        <w:rPr>
          <w:b/>
          <w:color w:val="FF0000"/>
        </w:rPr>
      </w:pPr>
    </w:p>
    <w:p w14:paraId="187E52A5" w14:textId="77777777" w:rsidR="00F00869" w:rsidRDefault="00F00869" w:rsidP="00676F74">
      <w:pPr>
        <w:rPr>
          <w:b/>
          <w:color w:val="FF0000"/>
        </w:rPr>
      </w:pPr>
    </w:p>
    <w:p w14:paraId="41353B77" w14:textId="77777777" w:rsidR="00F00869" w:rsidRDefault="00F00869" w:rsidP="00676F74">
      <w:pPr>
        <w:rPr>
          <w:b/>
          <w:color w:val="FF0000"/>
        </w:rPr>
      </w:pPr>
    </w:p>
    <w:p w14:paraId="32370E8F" w14:textId="77777777" w:rsidR="00F00869" w:rsidRDefault="00F00869" w:rsidP="00676F74">
      <w:pPr>
        <w:rPr>
          <w:b/>
          <w:color w:val="FF0000"/>
        </w:rPr>
      </w:pPr>
    </w:p>
    <w:p w14:paraId="053664FC" w14:textId="77777777" w:rsidR="00676F74" w:rsidRDefault="00676F74" w:rsidP="00676F74">
      <w:r>
        <w:t>In the second paragraph of the paper the authors discuss redox “</w:t>
      </w:r>
      <w:proofErr w:type="spellStart"/>
      <w:r>
        <w:t>noninnocent</w:t>
      </w:r>
      <w:proofErr w:type="spellEnd"/>
      <w:r>
        <w:t>” ligands. Using the information in this paragraph and Figure 1A, explain what this term means.</w:t>
      </w:r>
    </w:p>
    <w:p w14:paraId="12CCD3A4" w14:textId="77777777" w:rsidR="00676F74" w:rsidRDefault="00676F74" w:rsidP="00676F74">
      <w:pPr>
        <w:rPr>
          <w:color w:val="FF0000"/>
        </w:rPr>
      </w:pPr>
    </w:p>
    <w:p w14:paraId="56E007FA" w14:textId="77777777" w:rsidR="00F00869" w:rsidRDefault="00F00869" w:rsidP="00676F74">
      <w:pPr>
        <w:rPr>
          <w:color w:val="FF0000"/>
        </w:rPr>
      </w:pPr>
    </w:p>
    <w:p w14:paraId="6B9EF402" w14:textId="77777777" w:rsidR="00F00869" w:rsidRDefault="00F00869" w:rsidP="00676F74">
      <w:pPr>
        <w:rPr>
          <w:color w:val="FF0000"/>
        </w:rPr>
      </w:pPr>
    </w:p>
    <w:p w14:paraId="4C03EA09" w14:textId="77777777" w:rsidR="00F00869" w:rsidRDefault="00F00869" w:rsidP="00676F74">
      <w:pPr>
        <w:rPr>
          <w:color w:val="FF0000"/>
        </w:rPr>
      </w:pPr>
    </w:p>
    <w:p w14:paraId="4D36381B" w14:textId="77777777" w:rsidR="00F00869" w:rsidRDefault="00F00869" w:rsidP="00676F74"/>
    <w:p w14:paraId="34133FAC" w14:textId="77777777" w:rsidR="00676F74" w:rsidRPr="008B1171" w:rsidRDefault="00676F74" w:rsidP="00676F74">
      <w:r>
        <w:t xml:space="preserve">Why are redox </w:t>
      </w:r>
      <w:proofErr w:type="spellStart"/>
      <w:r>
        <w:t>noninnocent</w:t>
      </w:r>
      <w:proofErr w:type="spellEnd"/>
      <w:r>
        <w:t xml:space="preserve"> ligands common in titanium chemistry but less common with “on-time” and “late” metals? The standard reduction potential for Pt(IV)/Pt(II) is </w:t>
      </w:r>
      <w:r w:rsidR="00D614FC">
        <w:t>on the order of -600-700</w:t>
      </w:r>
      <w:r>
        <w:t xml:space="preserve"> </w:t>
      </w:r>
      <w:r w:rsidR="00D614FC">
        <w:t>m</w:t>
      </w:r>
      <w:r>
        <w:t>V. The standard reduction potential for Ti(IV)/Ti(II) is</w:t>
      </w:r>
      <w:r w:rsidR="00D614FC">
        <w:t xml:space="preserve"> approximately -1.5-1.6</w:t>
      </w:r>
      <w:r>
        <w:t xml:space="preserve"> V. Use this information to inform your answer.</w:t>
      </w:r>
      <w:r w:rsidR="008B1171">
        <w:t xml:space="preserve"> Note, KC</w:t>
      </w:r>
      <w:r w:rsidR="008B1171">
        <w:rPr>
          <w:vertAlign w:val="subscript"/>
        </w:rPr>
        <w:t>8</w:t>
      </w:r>
      <w:r w:rsidR="008B1171">
        <w:t xml:space="preserve"> has a reduction potential of approximately -2.1 V. You can read more about this reagent here: </w:t>
      </w:r>
      <w:hyperlink r:id="rId8" w:history="1">
        <w:r w:rsidR="008B1171" w:rsidRPr="00296C7B">
          <w:rPr>
            <w:rStyle w:val="Hyperlink"/>
          </w:rPr>
          <w:t>https://www.strem.com/catalog/product_blog/140/1/potassium_graphite_kc8-an_excellent_reducing_agent</w:t>
        </w:r>
      </w:hyperlink>
      <w:r w:rsidR="008B1171">
        <w:t xml:space="preserve"> </w:t>
      </w:r>
    </w:p>
    <w:p w14:paraId="617E777C" w14:textId="77777777" w:rsidR="00676F74" w:rsidRDefault="00676F74" w:rsidP="00676F74">
      <w:pPr>
        <w:rPr>
          <w:color w:val="FF0000"/>
        </w:rPr>
      </w:pPr>
    </w:p>
    <w:p w14:paraId="4BBAAD42" w14:textId="77777777" w:rsidR="00F00869" w:rsidRDefault="00F00869" w:rsidP="00676F74"/>
    <w:p w14:paraId="53959551" w14:textId="77777777" w:rsidR="00676F74" w:rsidRDefault="00676F74" w:rsidP="00676F74"/>
    <w:p w14:paraId="2E3931A1" w14:textId="77777777" w:rsidR="006C79CA" w:rsidRDefault="006C79CA" w:rsidP="00676F74"/>
    <w:p w14:paraId="6331B2F2" w14:textId="77777777" w:rsidR="00211819" w:rsidRPr="00C27FDF" w:rsidRDefault="00211819" w:rsidP="00676F74">
      <w:pPr>
        <w:rPr>
          <w:b/>
          <w:bCs/>
        </w:rPr>
      </w:pPr>
      <w:r w:rsidRPr="00C27FDF">
        <w:rPr>
          <w:b/>
          <w:bCs/>
        </w:rPr>
        <w:lastRenderedPageBreak/>
        <w:t>Synthesis and characterization</w:t>
      </w:r>
    </w:p>
    <w:p w14:paraId="04AAD65E" w14:textId="77777777" w:rsidR="00211819" w:rsidRDefault="00B80421" w:rsidP="00676F74">
      <w:r>
        <w:t>The authors claim that the ligand synthesis is a “two-step” procedure (Figure 2). Consult the Supporting Information, pages S7-S15. Evaluate their claim.</w:t>
      </w:r>
    </w:p>
    <w:p w14:paraId="28EE8F91" w14:textId="77777777" w:rsidR="00B80421" w:rsidRDefault="00B80421" w:rsidP="00676F74">
      <w:pPr>
        <w:rPr>
          <w:color w:val="FF0000"/>
        </w:rPr>
      </w:pPr>
    </w:p>
    <w:p w14:paraId="23441738" w14:textId="77777777" w:rsidR="00F00869" w:rsidRDefault="00F00869" w:rsidP="00676F74">
      <w:pPr>
        <w:rPr>
          <w:color w:val="FF0000"/>
        </w:rPr>
      </w:pPr>
    </w:p>
    <w:p w14:paraId="063B9571" w14:textId="77777777" w:rsidR="00F00869" w:rsidRDefault="00F00869" w:rsidP="00676F74"/>
    <w:p w14:paraId="36E0B837" w14:textId="77777777" w:rsidR="00B80421" w:rsidRDefault="00B80421" w:rsidP="00676F74">
      <w:r>
        <w:t xml:space="preserve">On the bottom left of page 1733, the authors state that the </w:t>
      </w:r>
      <w:r w:rsidRPr="00B80421">
        <w:rPr>
          <w:i/>
          <w:iCs/>
          <w:vertAlign w:val="superscript"/>
        </w:rPr>
        <w:t>t</w:t>
      </w:r>
      <w:r>
        <w:t>Bu/Me substituents were chosen to provide “easy-to-interpret” NMR handles and to “increase complex solubility.” How do these substituents provide these two outcomes?</w:t>
      </w:r>
    </w:p>
    <w:p w14:paraId="6607D73E" w14:textId="77777777" w:rsidR="00B80421" w:rsidRDefault="00B80421" w:rsidP="00676F74">
      <w:pPr>
        <w:rPr>
          <w:color w:val="FF0000"/>
        </w:rPr>
      </w:pPr>
    </w:p>
    <w:p w14:paraId="55D94761" w14:textId="77777777" w:rsidR="00F00869" w:rsidRDefault="00F00869" w:rsidP="00676F74">
      <w:pPr>
        <w:rPr>
          <w:color w:val="FF0000"/>
        </w:rPr>
      </w:pPr>
    </w:p>
    <w:p w14:paraId="3378A61D" w14:textId="77777777" w:rsidR="00F00869" w:rsidRDefault="00F00869" w:rsidP="00676F74">
      <w:pPr>
        <w:rPr>
          <w:color w:val="FF0000"/>
        </w:rPr>
      </w:pPr>
    </w:p>
    <w:p w14:paraId="3689791B" w14:textId="77777777" w:rsidR="00F00869" w:rsidRDefault="00F00869" w:rsidP="00676F74">
      <w:pPr>
        <w:rPr>
          <w:color w:val="FF0000"/>
        </w:rPr>
      </w:pPr>
    </w:p>
    <w:p w14:paraId="52F7E117" w14:textId="77777777" w:rsidR="00F00869" w:rsidRDefault="00F00869" w:rsidP="00676F74">
      <w:pPr>
        <w:rPr>
          <w:color w:val="FF0000"/>
        </w:rPr>
      </w:pPr>
    </w:p>
    <w:p w14:paraId="0A8318DC" w14:textId="77777777" w:rsidR="00F00869" w:rsidRDefault="00F00869" w:rsidP="00676F74"/>
    <w:p w14:paraId="625D59CE" w14:textId="77777777" w:rsidR="00B23409" w:rsidRDefault="00B23409" w:rsidP="00676F74">
      <w:r>
        <w:t xml:space="preserve">In the same paragraph, the free ligand </w:t>
      </w:r>
      <w:r>
        <w:rPr>
          <w:b/>
          <w:bCs/>
        </w:rPr>
        <w:t>8</w:t>
      </w:r>
      <w:r>
        <w:t xml:space="preserve"> is stated to exist as a mixture of “</w:t>
      </w:r>
      <w:proofErr w:type="spellStart"/>
      <w:r>
        <w:t>atropisomers</w:t>
      </w:r>
      <w:proofErr w:type="spellEnd"/>
      <w:r>
        <w:t xml:space="preserve">,” as determined by variable-temperature </w:t>
      </w:r>
      <w:r>
        <w:rPr>
          <w:vertAlign w:val="superscript"/>
        </w:rPr>
        <w:t>1</w:t>
      </w:r>
      <w:r>
        <w:t xml:space="preserve">H NMR (Figure 3). Deprotonation of the ligand forms compound </w:t>
      </w:r>
      <w:r>
        <w:rPr>
          <w:b/>
          <w:bCs/>
        </w:rPr>
        <w:t xml:space="preserve">9 </w:t>
      </w:r>
      <w:r w:rsidRPr="00B23409">
        <w:t>which</w:t>
      </w:r>
      <w:r>
        <w:t xml:space="preserve"> does not exhibit this behavior “presumably due to Li chelation.” What is an </w:t>
      </w:r>
      <w:proofErr w:type="spellStart"/>
      <w:r>
        <w:t>atropisomer</w:t>
      </w:r>
      <w:proofErr w:type="spellEnd"/>
      <w:r>
        <w:t xml:space="preserve">? Why does </w:t>
      </w:r>
      <w:r>
        <w:rPr>
          <w:b/>
          <w:bCs/>
        </w:rPr>
        <w:t>8</w:t>
      </w:r>
      <w:r>
        <w:t xml:space="preserve"> exhibit this behavior (your options are steric, electronic, thermodynamic, kinetic, or a complex interplay of several of those factors)? Why does </w:t>
      </w:r>
      <w:r>
        <w:rPr>
          <w:b/>
          <w:bCs/>
        </w:rPr>
        <w:t>9</w:t>
      </w:r>
      <w:r>
        <w:t xml:space="preserve"> </w:t>
      </w:r>
      <w:r>
        <w:rPr>
          <w:i/>
          <w:iCs/>
        </w:rPr>
        <w:t>NOT</w:t>
      </w:r>
      <w:r>
        <w:t xml:space="preserve"> exhibit this behavior?</w:t>
      </w:r>
    </w:p>
    <w:p w14:paraId="324B2248" w14:textId="77777777" w:rsidR="00B23409" w:rsidRDefault="00B23409" w:rsidP="00676F74">
      <w:pPr>
        <w:rPr>
          <w:color w:val="FF0000"/>
        </w:rPr>
      </w:pPr>
    </w:p>
    <w:p w14:paraId="076EF3F5" w14:textId="77777777" w:rsidR="00F00869" w:rsidRDefault="00F00869" w:rsidP="00676F74">
      <w:pPr>
        <w:rPr>
          <w:color w:val="FF0000"/>
        </w:rPr>
      </w:pPr>
    </w:p>
    <w:p w14:paraId="4691C2A3" w14:textId="77777777" w:rsidR="00F00869" w:rsidRDefault="00F00869" w:rsidP="00676F74">
      <w:pPr>
        <w:rPr>
          <w:color w:val="FF0000"/>
        </w:rPr>
      </w:pPr>
    </w:p>
    <w:p w14:paraId="45026E69" w14:textId="77777777" w:rsidR="00F00869" w:rsidRDefault="00F00869" w:rsidP="00676F74">
      <w:pPr>
        <w:rPr>
          <w:color w:val="FF0000"/>
        </w:rPr>
      </w:pPr>
    </w:p>
    <w:p w14:paraId="09528971" w14:textId="77777777" w:rsidR="00F00869" w:rsidRDefault="00F00869" w:rsidP="00676F74">
      <w:pPr>
        <w:rPr>
          <w:color w:val="FF0000"/>
        </w:rPr>
      </w:pPr>
    </w:p>
    <w:p w14:paraId="3E6F589E" w14:textId="77777777" w:rsidR="00F00869" w:rsidRDefault="00F00869" w:rsidP="00676F74"/>
    <w:p w14:paraId="50A77173" w14:textId="77777777" w:rsidR="00B23409" w:rsidRDefault="00CC1862" w:rsidP="00676F74">
      <w:r>
        <w:t>The authors prepare complexes by “salt metathesis” or “protonolysis.” Using the information in Figure 4, define these two reactions and provide a balanced chemical reaction for reactions A, B, and C (not all the products are shown; what are the additional products?). What is Bn?</w:t>
      </w:r>
    </w:p>
    <w:p w14:paraId="42B830A1" w14:textId="77777777" w:rsidR="00CC1862" w:rsidRDefault="00CC1862" w:rsidP="00676F74">
      <w:pPr>
        <w:rPr>
          <w:color w:val="FF0000"/>
        </w:rPr>
      </w:pPr>
    </w:p>
    <w:p w14:paraId="2F2E60E3" w14:textId="77777777" w:rsidR="00F00869" w:rsidRDefault="00F00869" w:rsidP="00676F74">
      <w:pPr>
        <w:rPr>
          <w:color w:val="FF0000"/>
        </w:rPr>
      </w:pPr>
    </w:p>
    <w:p w14:paraId="2147BA7C" w14:textId="77777777" w:rsidR="00F00869" w:rsidRDefault="00F00869" w:rsidP="00676F74">
      <w:pPr>
        <w:rPr>
          <w:color w:val="FF0000"/>
        </w:rPr>
      </w:pPr>
    </w:p>
    <w:p w14:paraId="57C9EE9A" w14:textId="77777777" w:rsidR="00F00869" w:rsidRDefault="00F00869" w:rsidP="00676F74">
      <w:pPr>
        <w:rPr>
          <w:color w:val="FF0000"/>
        </w:rPr>
      </w:pPr>
    </w:p>
    <w:p w14:paraId="78D375B0" w14:textId="77777777" w:rsidR="00F00869" w:rsidRDefault="00F00869" w:rsidP="00676F74">
      <w:pPr>
        <w:rPr>
          <w:color w:val="FF0000"/>
        </w:rPr>
      </w:pPr>
    </w:p>
    <w:p w14:paraId="6356E8C8" w14:textId="77777777" w:rsidR="00F00869" w:rsidRDefault="00F00869" w:rsidP="00676F74"/>
    <w:p w14:paraId="182D26A3" w14:textId="77777777" w:rsidR="00DD611B" w:rsidRDefault="00C27FDF" w:rsidP="00676F74">
      <w:pPr>
        <w:rPr>
          <w:bCs/>
        </w:rPr>
      </w:pPr>
      <w:r>
        <w:t xml:space="preserve">Classify </w:t>
      </w:r>
      <w:r w:rsidR="00C01F63">
        <w:t>TiCl</w:t>
      </w:r>
      <w:r w:rsidR="00C01F63">
        <w:rPr>
          <w:vertAlign w:val="subscript"/>
        </w:rPr>
        <w:t>4</w:t>
      </w:r>
      <w:r w:rsidR="00C01F63">
        <w:t>(thf)</w:t>
      </w:r>
      <w:r w:rsidR="00C01F63">
        <w:rPr>
          <w:vertAlign w:val="subscript"/>
        </w:rPr>
        <w:t>2</w:t>
      </w:r>
      <w:r w:rsidR="00C01F63">
        <w:t>, TiBn</w:t>
      </w:r>
      <w:r w:rsidR="00C01F63">
        <w:rPr>
          <w:vertAlign w:val="subscript"/>
        </w:rPr>
        <w:t>4</w:t>
      </w:r>
      <w:r w:rsidR="00C01F63">
        <w:t xml:space="preserve">, and </w:t>
      </w:r>
      <w:r>
        <w:t xml:space="preserve">complexes </w:t>
      </w:r>
      <w:r>
        <w:rPr>
          <w:b/>
          <w:bCs/>
        </w:rPr>
        <w:t>10</w:t>
      </w:r>
      <w:r>
        <w:t xml:space="preserve">, </w:t>
      </w:r>
      <w:r>
        <w:rPr>
          <w:b/>
          <w:bCs/>
        </w:rPr>
        <w:t>11</w:t>
      </w:r>
      <w:r>
        <w:t xml:space="preserve">, and </w:t>
      </w:r>
      <w:r>
        <w:rPr>
          <w:b/>
          <w:bCs/>
        </w:rPr>
        <w:t>12</w:t>
      </w:r>
      <w:r>
        <w:t xml:space="preserve"> by the CBC method.</w:t>
      </w:r>
      <w:r>
        <w:rPr>
          <w:bCs/>
        </w:rPr>
        <w:t xml:space="preserve"> Include the VN, LBN, d</w:t>
      </w:r>
      <w:r>
        <w:rPr>
          <w:bCs/>
          <w:vertAlign w:val="superscript"/>
        </w:rPr>
        <w:t>n</w:t>
      </w:r>
      <w:r>
        <w:rPr>
          <w:bCs/>
        </w:rPr>
        <w:t xml:space="preserve"> count and total valence electron count of these molecules. </w:t>
      </w:r>
    </w:p>
    <w:p w14:paraId="172FF6DC" w14:textId="77777777" w:rsidR="00F00869" w:rsidRDefault="00F00869" w:rsidP="00676F74">
      <w:pPr>
        <w:rPr>
          <w:b/>
          <w:color w:val="FF0000"/>
        </w:rPr>
      </w:pPr>
    </w:p>
    <w:p w14:paraId="261E1FE1" w14:textId="77777777" w:rsidR="00F00869" w:rsidRDefault="00F00869" w:rsidP="00676F74">
      <w:pPr>
        <w:rPr>
          <w:b/>
          <w:color w:val="FF0000"/>
        </w:rPr>
      </w:pPr>
    </w:p>
    <w:p w14:paraId="6CB9B8ED" w14:textId="77777777" w:rsidR="00F00869" w:rsidRDefault="00F00869" w:rsidP="00676F74">
      <w:pPr>
        <w:rPr>
          <w:b/>
          <w:color w:val="FF0000"/>
        </w:rPr>
      </w:pPr>
    </w:p>
    <w:p w14:paraId="2BF85329" w14:textId="77777777" w:rsidR="00F00869" w:rsidRDefault="00F00869" w:rsidP="00676F74">
      <w:pPr>
        <w:rPr>
          <w:b/>
          <w:color w:val="FF0000"/>
        </w:rPr>
      </w:pPr>
    </w:p>
    <w:p w14:paraId="360051BF" w14:textId="77777777" w:rsidR="00F00869" w:rsidRDefault="00F00869" w:rsidP="00676F74">
      <w:pPr>
        <w:rPr>
          <w:b/>
          <w:color w:val="FF0000"/>
        </w:rPr>
      </w:pPr>
    </w:p>
    <w:p w14:paraId="6A30B1A3" w14:textId="77777777" w:rsidR="00550D45" w:rsidRDefault="00550D45" w:rsidP="00550D45">
      <w:r>
        <w:lastRenderedPageBreak/>
        <w:t xml:space="preserve">The authors use a </w:t>
      </w:r>
      <w:r>
        <w:rPr>
          <w:rFonts w:ascii="Symbol" w:hAnsi="Symbol"/>
        </w:rPr>
        <w:t xml:space="preserve">t </w:t>
      </w:r>
      <w:r>
        <w:t>parameter to describe the geometry of the distorted trigonal bipyramidal complexes (p 1734 just below Table 1). What is this parameter measuring?</w:t>
      </w:r>
    </w:p>
    <w:p w14:paraId="32964BD4" w14:textId="77777777" w:rsidR="00805AE6" w:rsidRDefault="00805AE6" w:rsidP="00676F74">
      <w:pPr>
        <w:rPr>
          <w:color w:val="FF0000"/>
        </w:rPr>
      </w:pPr>
    </w:p>
    <w:p w14:paraId="4AE7DA42" w14:textId="77777777" w:rsidR="00F00869" w:rsidRDefault="00F00869" w:rsidP="00676F74">
      <w:pPr>
        <w:rPr>
          <w:color w:val="FF0000"/>
        </w:rPr>
      </w:pPr>
    </w:p>
    <w:p w14:paraId="3BACF270" w14:textId="77777777" w:rsidR="00F00869" w:rsidRDefault="00F00869" w:rsidP="00676F74">
      <w:pPr>
        <w:rPr>
          <w:color w:val="FF0000"/>
        </w:rPr>
      </w:pPr>
    </w:p>
    <w:p w14:paraId="74DD9211" w14:textId="77777777" w:rsidR="00F00869" w:rsidRDefault="00F00869" w:rsidP="00676F74">
      <w:pPr>
        <w:rPr>
          <w:color w:val="FF0000"/>
        </w:rPr>
      </w:pPr>
    </w:p>
    <w:p w14:paraId="73399F24" w14:textId="77777777" w:rsidR="00F00869" w:rsidRDefault="00F00869" w:rsidP="00676F74">
      <w:pPr>
        <w:rPr>
          <w:color w:val="FF0000"/>
        </w:rPr>
      </w:pPr>
    </w:p>
    <w:p w14:paraId="049B29C8" w14:textId="77777777" w:rsidR="00F00869" w:rsidRDefault="00F00869" w:rsidP="00676F74"/>
    <w:p w14:paraId="4F9EA151" w14:textId="77777777" w:rsidR="00805AE6" w:rsidRDefault="00332C44" w:rsidP="00676F74">
      <w:r>
        <w:t>At the bottom of page 1734 (last complete paragraph on left side) the authors state that the distance between the Ti and the centroid of the aryl linker is too long to suggest a Ti-</w:t>
      </w:r>
      <w:r>
        <w:rPr>
          <w:rFonts w:ascii="Symbol" w:hAnsi="Symbol"/>
        </w:rPr>
        <w:t>p</w:t>
      </w:r>
      <w:r>
        <w:t xml:space="preserve"> interaction. Discuss this statement, considering also the structures of complexes </w:t>
      </w:r>
      <w:r>
        <w:rPr>
          <w:b/>
          <w:bCs/>
        </w:rPr>
        <w:t>4</w:t>
      </w:r>
      <w:r>
        <w:t xml:space="preserve"> and </w:t>
      </w:r>
      <w:r>
        <w:rPr>
          <w:b/>
          <w:bCs/>
        </w:rPr>
        <w:t>5</w:t>
      </w:r>
      <w:r>
        <w:t xml:space="preserve"> in your answer. </w:t>
      </w:r>
    </w:p>
    <w:p w14:paraId="139F7B18" w14:textId="77777777" w:rsidR="00332C44" w:rsidRDefault="00332C44" w:rsidP="00676F74">
      <w:pPr>
        <w:rPr>
          <w:color w:val="FF0000"/>
        </w:rPr>
      </w:pPr>
    </w:p>
    <w:p w14:paraId="6841F2F3" w14:textId="77777777" w:rsidR="00F00869" w:rsidRDefault="00F00869" w:rsidP="00676F74">
      <w:pPr>
        <w:rPr>
          <w:color w:val="FF0000"/>
        </w:rPr>
      </w:pPr>
    </w:p>
    <w:p w14:paraId="45124D10" w14:textId="77777777" w:rsidR="00F00869" w:rsidRDefault="00F00869" w:rsidP="00676F74">
      <w:pPr>
        <w:rPr>
          <w:color w:val="FF0000"/>
        </w:rPr>
      </w:pPr>
    </w:p>
    <w:p w14:paraId="6A233128" w14:textId="77777777" w:rsidR="00F00869" w:rsidRDefault="00F00869" w:rsidP="00676F74">
      <w:pPr>
        <w:rPr>
          <w:color w:val="FF0000"/>
        </w:rPr>
      </w:pPr>
    </w:p>
    <w:p w14:paraId="6321BD45" w14:textId="77777777" w:rsidR="00F00869" w:rsidRDefault="00F00869" w:rsidP="00676F74">
      <w:pPr>
        <w:rPr>
          <w:color w:val="FF0000"/>
        </w:rPr>
      </w:pPr>
    </w:p>
    <w:p w14:paraId="2066F5EE" w14:textId="77777777" w:rsidR="00F00869" w:rsidRDefault="00F00869" w:rsidP="00676F74"/>
    <w:p w14:paraId="4320F51B" w14:textId="77777777" w:rsidR="00550D45" w:rsidRPr="00332C44" w:rsidRDefault="00550D45" w:rsidP="00550D45">
      <w:r>
        <w:t xml:space="preserve">There are significant changes in </w:t>
      </w:r>
      <w:r>
        <w:rPr>
          <w:vertAlign w:val="superscript"/>
        </w:rPr>
        <w:t>1</w:t>
      </w:r>
      <w:r>
        <w:t>H NMR signals for seemingly equivalent protons (see top paragraph on right of page 1734 for one (</w:t>
      </w:r>
      <w:r>
        <w:rPr>
          <w:rFonts w:ascii="Symbol" w:hAnsi="Symbol"/>
        </w:rPr>
        <w:t>Dd</w:t>
      </w:r>
      <w:r>
        <w:t xml:space="preserve"> = 1.48 ppm for methylene protons), and the following paragraph for another (</w:t>
      </w:r>
      <w:r>
        <w:rPr>
          <w:rFonts w:ascii="Symbol" w:hAnsi="Symbol"/>
        </w:rPr>
        <w:t>Dd</w:t>
      </w:r>
      <w:r>
        <w:t xml:space="preserve"> = 0.48 ppm for NMe</w:t>
      </w:r>
      <w:r>
        <w:rPr>
          <w:vertAlign w:val="subscript"/>
        </w:rPr>
        <w:t>2</w:t>
      </w:r>
      <w:r>
        <w:t xml:space="preserve"> protons)). First, explain the </w:t>
      </w:r>
      <w:r>
        <w:rPr>
          <w:rFonts w:ascii="Symbol" w:hAnsi="Symbol"/>
        </w:rPr>
        <w:t>Dd</w:t>
      </w:r>
      <w:r>
        <w:t xml:space="preserve"> notation. Second, explain generally why there is such a difference in chemical shift for seemingly similar groups? </w:t>
      </w:r>
      <w:r>
        <w:rPr>
          <w:vertAlign w:val="superscript"/>
        </w:rPr>
        <w:t>1</w:t>
      </w:r>
      <w:r>
        <w:t>H NMR spectra corresponding to these two structures can be found on page S19 and S21 of the supporting information.</w:t>
      </w:r>
    </w:p>
    <w:p w14:paraId="6C6C9F23" w14:textId="77777777" w:rsidR="00805AE6" w:rsidRDefault="00805AE6" w:rsidP="00676F74">
      <w:pPr>
        <w:rPr>
          <w:rFonts w:ascii="Symbol" w:hAnsi="Symbol"/>
          <w:color w:val="FF0000"/>
        </w:rPr>
      </w:pPr>
    </w:p>
    <w:p w14:paraId="1E21E8F8" w14:textId="77777777" w:rsidR="00F00869" w:rsidRDefault="00F00869" w:rsidP="00676F74">
      <w:pPr>
        <w:rPr>
          <w:rFonts w:ascii="Symbol" w:hAnsi="Symbol"/>
          <w:color w:val="FF0000"/>
        </w:rPr>
      </w:pPr>
    </w:p>
    <w:p w14:paraId="15F3311D" w14:textId="77777777" w:rsidR="00F00869" w:rsidRDefault="00F00869" w:rsidP="00676F74">
      <w:pPr>
        <w:rPr>
          <w:rFonts w:ascii="Symbol" w:hAnsi="Symbol"/>
          <w:color w:val="FF0000"/>
        </w:rPr>
      </w:pPr>
    </w:p>
    <w:p w14:paraId="2DAFCFCC" w14:textId="77777777" w:rsidR="00F00869" w:rsidRDefault="00F00869" w:rsidP="00676F74"/>
    <w:p w14:paraId="4CC389AB" w14:textId="77777777" w:rsidR="00805AE6" w:rsidRDefault="00DB58D6" w:rsidP="00676F74">
      <w:r>
        <w:t xml:space="preserve">The reaction of </w:t>
      </w:r>
      <w:r>
        <w:rPr>
          <w:b/>
          <w:bCs/>
        </w:rPr>
        <w:t>12</w:t>
      </w:r>
      <w:r>
        <w:t xml:space="preserve"> with aniline gives a color change with a clean </w:t>
      </w:r>
      <w:r>
        <w:rPr>
          <w:vertAlign w:val="superscript"/>
        </w:rPr>
        <w:t>1</w:t>
      </w:r>
      <w:r>
        <w:t>H NMR spectrum. Propose the product and a general mechanism (don’t try to arrow push) for its formation.</w:t>
      </w:r>
    </w:p>
    <w:p w14:paraId="048546AF" w14:textId="77777777" w:rsidR="00DB58D6" w:rsidRDefault="00DB58D6" w:rsidP="00676F74">
      <w:pPr>
        <w:rPr>
          <w:color w:val="FF0000"/>
        </w:rPr>
      </w:pPr>
    </w:p>
    <w:p w14:paraId="07F547B9" w14:textId="77777777" w:rsidR="00F00869" w:rsidRDefault="00F00869" w:rsidP="00676F74">
      <w:pPr>
        <w:rPr>
          <w:color w:val="FF0000"/>
        </w:rPr>
      </w:pPr>
    </w:p>
    <w:p w14:paraId="67CD34C2" w14:textId="77777777" w:rsidR="00F00869" w:rsidRDefault="00F00869" w:rsidP="00676F74"/>
    <w:p w14:paraId="3278476C" w14:textId="77777777" w:rsidR="00550D45" w:rsidRDefault="00550D45">
      <w:pPr>
        <w:rPr>
          <w:b/>
          <w:bCs/>
        </w:rPr>
      </w:pPr>
      <w:r>
        <w:rPr>
          <w:b/>
          <w:bCs/>
        </w:rPr>
        <w:br w:type="page"/>
      </w:r>
    </w:p>
    <w:p w14:paraId="466DEB4A" w14:textId="668C6129" w:rsidR="00211819" w:rsidRPr="00D46EDB" w:rsidRDefault="00211819" w:rsidP="00676F74">
      <w:pPr>
        <w:rPr>
          <w:b/>
          <w:bCs/>
        </w:rPr>
      </w:pPr>
      <w:r w:rsidRPr="00D46EDB">
        <w:rPr>
          <w:b/>
          <w:bCs/>
        </w:rPr>
        <w:lastRenderedPageBreak/>
        <w:t xml:space="preserve">Catalysis </w:t>
      </w:r>
    </w:p>
    <w:p w14:paraId="01E8568B" w14:textId="77777777" w:rsidR="006212E3" w:rsidRDefault="00575B0B" w:rsidP="00676F74">
      <w:r>
        <w:t>What hypothesis are the authors testing by presenting the results in Table 2? What about Table 3? In other words, explain why they chose the substrates they did for each of the two tables; they did so in order to test reactivity in some way.</w:t>
      </w:r>
    </w:p>
    <w:p w14:paraId="494CD21C" w14:textId="77777777" w:rsidR="00575B0B" w:rsidRDefault="00575B0B" w:rsidP="00676F74">
      <w:pPr>
        <w:rPr>
          <w:color w:val="FF0000"/>
        </w:rPr>
      </w:pPr>
    </w:p>
    <w:p w14:paraId="23255E2F" w14:textId="77777777" w:rsidR="00F00869" w:rsidRDefault="00F00869" w:rsidP="00676F74">
      <w:pPr>
        <w:rPr>
          <w:color w:val="FF0000"/>
        </w:rPr>
      </w:pPr>
    </w:p>
    <w:p w14:paraId="6B9AEBAA" w14:textId="77777777" w:rsidR="00F00869" w:rsidRDefault="00F00869" w:rsidP="00676F74">
      <w:pPr>
        <w:rPr>
          <w:color w:val="FF0000"/>
        </w:rPr>
      </w:pPr>
    </w:p>
    <w:p w14:paraId="314FDA9C" w14:textId="77777777" w:rsidR="00F00869" w:rsidRDefault="00F00869" w:rsidP="00676F74">
      <w:pPr>
        <w:rPr>
          <w:color w:val="FF0000"/>
        </w:rPr>
      </w:pPr>
    </w:p>
    <w:p w14:paraId="5F826444" w14:textId="77777777" w:rsidR="00F00869" w:rsidRDefault="00F00869" w:rsidP="00676F74">
      <w:pPr>
        <w:rPr>
          <w:color w:val="FF0000"/>
        </w:rPr>
      </w:pPr>
    </w:p>
    <w:p w14:paraId="284D7D7D" w14:textId="77777777" w:rsidR="00F00869" w:rsidRDefault="00F00869" w:rsidP="00676F74">
      <w:pPr>
        <w:rPr>
          <w:color w:val="FF0000"/>
        </w:rPr>
      </w:pPr>
    </w:p>
    <w:p w14:paraId="3FD3F6C2" w14:textId="77777777" w:rsidR="00F00869" w:rsidRDefault="00F00869" w:rsidP="00676F74">
      <w:pPr>
        <w:rPr>
          <w:color w:val="FF0000"/>
        </w:rPr>
      </w:pPr>
    </w:p>
    <w:p w14:paraId="41AE3BDB" w14:textId="77777777" w:rsidR="00F00869" w:rsidRDefault="00F00869" w:rsidP="00676F74">
      <w:pPr>
        <w:rPr>
          <w:color w:val="FF0000"/>
        </w:rPr>
      </w:pPr>
    </w:p>
    <w:p w14:paraId="543B100E" w14:textId="77777777" w:rsidR="00F00869" w:rsidRDefault="00F00869" w:rsidP="00676F74"/>
    <w:p w14:paraId="0A30B2FF" w14:textId="77777777" w:rsidR="00550D45" w:rsidRPr="00326417" w:rsidRDefault="00550D45" w:rsidP="00550D45">
      <w:r>
        <w:t xml:space="preserve">Figure 6 shows a “rationale” for regioselectivity. Given this figure and your answer above regarding the reaction of </w:t>
      </w:r>
      <w:r>
        <w:rPr>
          <w:b/>
          <w:bCs/>
        </w:rPr>
        <w:t>12</w:t>
      </w:r>
      <w:r>
        <w:t xml:space="preserve"> with aniline, propose a complete catalytic cycle starting from </w:t>
      </w:r>
      <w:r>
        <w:rPr>
          <w:b/>
          <w:bCs/>
        </w:rPr>
        <w:t>12</w:t>
      </w:r>
      <w:r>
        <w:t xml:space="preserve"> to give the hydroamination product. Make sure the elementary steps you propose are reasonable. Everything you need to answer this question is found in the paper, though the authors do not propose a mechanism. What is the “catalyst” for the reaction? is it complex </w:t>
      </w:r>
      <w:r>
        <w:rPr>
          <w:b/>
          <w:bCs/>
        </w:rPr>
        <w:t>12</w:t>
      </w:r>
      <w:r>
        <w:t>?</w:t>
      </w:r>
    </w:p>
    <w:p w14:paraId="58DE800C" w14:textId="77777777" w:rsidR="00326417" w:rsidRDefault="00326417" w:rsidP="00676F74">
      <w:pPr>
        <w:rPr>
          <w:color w:val="FF0000"/>
        </w:rPr>
      </w:pPr>
    </w:p>
    <w:p w14:paraId="6AE333AF" w14:textId="77777777" w:rsidR="00F00869" w:rsidRDefault="00F00869" w:rsidP="00676F74">
      <w:pPr>
        <w:rPr>
          <w:color w:val="FF0000"/>
        </w:rPr>
      </w:pPr>
    </w:p>
    <w:p w14:paraId="2942ACEC" w14:textId="77777777" w:rsidR="00F00869" w:rsidRDefault="00F00869" w:rsidP="00676F74">
      <w:pPr>
        <w:rPr>
          <w:color w:val="FF0000"/>
        </w:rPr>
      </w:pPr>
    </w:p>
    <w:p w14:paraId="7DF0A63C" w14:textId="77777777" w:rsidR="00F00869" w:rsidRDefault="00F00869" w:rsidP="00676F74">
      <w:pPr>
        <w:rPr>
          <w:color w:val="FF0000"/>
        </w:rPr>
      </w:pPr>
    </w:p>
    <w:p w14:paraId="14263719" w14:textId="77777777" w:rsidR="00F00869" w:rsidRDefault="00F00869" w:rsidP="00676F74">
      <w:pPr>
        <w:rPr>
          <w:color w:val="FF0000"/>
        </w:rPr>
      </w:pPr>
    </w:p>
    <w:p w14:paraId="191C71C2" w14:textId="77777777" w:rsidR="00F00869" w:rsidRDefault="00F00869" w:rsidP="00676F74">
      <w:pPr>
        <w:rPr>
          <w:color w:val="FF0000"/>
        </w:rPr>
      </w:pPr>
    </w:p>
    <w:p w14:paraId="7344D160" w14:textId="77777777" w:rsidR="00F00869" w:rsidRDefault="00F00869" w:rsidP="00676F74">
      <w:pPr>
        <w:rPr>
          <w:color w:val="FF0000"/>
        </w:rPr>
      </w:pPr>
    </w:p>
    <w:p w14:paraId="32214F08" w14:textId="77777777" w:rsidR="00F00869" w:rsidRDefault="00F00869" w:rsidP="00676F74">
      <w:pPr>
        <w:rPr>
          <w:color w:val="FF0000"/>
        </w:rPr>
      </w:pPr>
    </w:p>
    <w:p w14:paraId="42E1A2D3" w14:textId="77777777" w:rsidR="00F00869" w:rsidRDefault="00F00869" w:rsidP="00676F74">
      <w:pPr>
        <w:rPr>
          <w:color w:val="FF0000"/>
        </w:rPr>
      </w:pPr>
    </w:p>
    <w:p w14:paraId="653045FA" w14:textId="77777777" w:rsidR="00F00869" w:rsidRDefault="00F00869" w:rsidP="00676F74"/>
    <w:p w14:paraId="445AB2DB" w14:textId="77777777" w:rsidR="00550D45" w:rsidRDefault="00550D45">
      <w:r>
        <w:br w:type="page"/>
      </w:r>
    </w:p>
    <w:p w14:paraId="07F9730C" w14:textId="4DF17D24" w:rsidR="00575B0B" w:rsidRDefault="00326417" w:rsidP="00676F74">
      <w:r>
        <w:lastRenderedPageBreak/>
        <w:t xml:space="preserve">In the first full paragraph below Table 2, entry 3 is described as having very low conversion. On the bottom right of page 1735, entry 8 also has a low conversion, while a related catalyst </w:t>
      </w:r>
      <w:r>
        <w:rPr>
          <w:b/>
          <w:bCs/>
        </w:rPr>
        <w:t>7</w:t>
      </w:r>
      <w:r>
        <w:t xml:space="preserve"> show in in Figure 1 gives a good yield. Given these two statements and the text surrounding them, why is </w:t>
      </w:r>
      <w:r>
        <w:rPr>
          <w:b/>
          <w:bCs/>
        </w:rPr>
        <w:t>12</w:t>
      </w:r>
      <w:r>
        <w:t xml:space="preserve"> less effective of a catalyst than </w:t>
      </w:r>
      <w:r>
        <w:rPr>
          <w:b/>
          <w:bCs/>
        </w:rPr>
        <w:t>7</w:t>
      </w:r>
      <w:r>
        <w:t>?</w:t>
      </w:r>
    </w:p>
    <w:p w14:paraId="07BF4411" w14:textId="77777777" w:rsidR="00575B0B" w:rsidRDefault="00575B0B" w:rsidP="00676F74">
      <w:pPr>
        <w:rPr>
          <w:color w:val="FF0000"/>
        </w:rPr>
      </w:pPr>
    </w:p>
    <w:p w14:paraId="4FA2F633" w14:textId="77777777" w:rsidR="00F00869" w:rsidRDefault="00F00869" w:rsidP="00676F74">
      <w:pPr>
        <w:rPr>
          <w:color w:val="FF0000"/>
        </w:rPr>
      </w:pPr>
    </w:p>
    <w:p w14:paraId="39CBDAF2" w14:textId="77777777" w:rsidR="00F00869" w:rsidRDefault="00F00869" w:rsidP="00676F74">
      <w:pPr>
        <w:rPr>
          <w:color w:val="FF0000"/>
        </w:rPr>
      </w:pPr>
    </w:p>
    <w:p w14:paraId="5C9B3647" w14:textId="77777777" w:rsidR="00F00869" w:rsidRDefault="00F00869" w:rsidP="00676F74">
      <w:pPr>
        <w:rPr>
          <w:color w:val="FF0000"/>
        </w:rPr>
      </w:pPr>
    </w:p>
    <w:p w14:paraId="497E1CC1" w14:textId="77777777" w:rsidR="00F00869" w:rsidRDefault="00F00869" w:rsidP="00676F74">
      <w:pPr>
        <w:rPr>
          <w:color w:val="FF0000"/>
        </w:rPr>
      </w:pPr>
    </w:p>
    <w:p w14:paraId="06220596" w14:textId="77777777" w:rsidR="00F00869" w:rsidRDefault="00F00869" w:rsidP="00676F74">
      <w:pPr>
        <w:rPr>
          <w:color w:val="FF0000"/>
        </w:rPr>
      </w:pPr>
    </w:p>
    <w:p w14:paraId="623D0D6D" w14:textId="77777777" w:rsidR="00F00869" w:rsidRDefault="00F00869" w:rsidP="00676F74">
      <w:pPr>
        <w:rPr>
          <w:color w:val="FF0000"/>
        </w:rPr>
      </w:pPr>
    </w:p>
    <w:p w14:paraId="5B3908CE" w14:textId="77777777" w:rsidR="00F00869" w:rsidRDefault="00F00869" w:rsidP="00676F74"/>
    <w:p w14:paraId="3613AA7E" w14:textId="77777777" w:rsidR="00326417" w:rsidRPr="00875E1A" w:rsidRDefault="00875E1A" w:rsidP="00676F74">
      <w:r>
        <w:t xml:space="preserve">In table 3, the </w:t>
      </w:r>
      <w:r>
        <w:rPr>
          <w:i/>
          <w:iCs/>
        </w:rPr>
        <w:t>para</w:t>
      </w:r>
      <w:r>
        <w:t>-CF</w:t>
      </w:r>
      <w:r>
        <w:rPr>
          <w:vertAlign w:val="subscript"/>
        </w:rPr>
        <w:t>3</w:t>
      </w:r>
      <w:r>
        <w:t xml:space="preserve"> substituted aniline does not give product but instead decomposition. What is a possible reason for why this substrate fails? This question is very much related to the next one… so perhaps consider answering both together. </w:t>
      </w:r>
    </w:p>
    <w:p w14:paraId="2B806D94" w14:textId="77777777" w:rsidR="00875E1A" w:rsidRDefault="00875E1A" w:rsidP="00676F74"/>
    <w:p w14:paraId="78F89D61" w14:textId="77777777" w:rsidR="00326417" w:rsidRDefault="00326417" w:rsidP="00676F74">
      <w:r>
        <w:t>Organic chemists (and organometallic chemists) like to provide substrate tables to show the scope of the reaction, including the functional group tolerance. If a reaction can be performed with ether, alcohol, ester, and amine substrates, it is going to be more widely applicable for organic synthesis. Given the results in tables 2 and 3, what is your opinion of the substrate scope? Note, this is a general limitation of early metal catalysis in most cases.</w:t>
      </w:r>
    </w:p>
    <w:p w14:paraId="74BA918A" w14:textId="77777777" w:rsidR="00F00869" w:rsidRDefault="00F00869" w:rsidP="00676F74">
      <w:pPr>
        <w:rPr>
          <w:color w:val="FF0000"/>
        </w:rPr>
      </w:pPr>
    </w:p>
    <w:p w14:paraId="346E4C5A" w14:textId="77777777" w:rsidR="00F00869" w:rsidRDefault="00F00869" w:rsidP="00676F74">
      <w:pPr>
        <w:rPr>
          <w:color w:val="FF0000"/>
        </w:rPr>
      </w:pPr>
    </w:p>
    <w:p w14:paraId="0673DDDC" w14:textId="77777777" w:rsidR="00F00869" w:rsidRDefault="00F00869" w:rsidP="00676F74">
      <w:pPr>
        <w:rPr>
          <w:color w:val="FF0000"/>
        </w:rPr>
      </w:pPr>
    </w:p>
    <w:p w14:paraId="2612E723" w14:textId="77777777" w:rsidR="00F00869" w:rsidRDefault="00F00869" w:rsidP="00676F74">
      <w:pPr>
        <w:rPr>
          <w:color w:val="FF0000"/>
        </w:rPr>
      </w:pPr>
    </w:p>
    <w:p w14:paraId="3E39F59E" w14:textId="77777777" w:rsidR="00F00869" w:rsidRDefault="00F00869" w:rsidP="00676F74">
      <w:pPr>
        <w:rPr>
          <w:color w:val="FF0000"/>
        </w:rPr>
      </w:pPr>
    </w:p>
    <w:p w14:paraId="50908850" w14:textId="77777777" w:rsidR="00F00869" w:rsidRDefault="00F00869" w:rsidP="00676F74">
      <w:pPr>
        <w:rPr>
          <w:color w:val="FF0000"/>
        </w:rPr>
      </w:pPr>
    </w:p>
    <w:p w14:paraId="53CA3DB4" w14:textId="77777777" w:rsidR="00F00869" w:rsidRDefault="00F00869" w:rsidP="00676F74">
      <w:pPr>
        <w:rPr>
          <w:color w:val="FF0000"/>
        </w:rPr>
      </w:pPr>
    </w:p>
    <w:p w14:paraId="10ADF7AA" w14:textId="77777777" w:rsidR="00F00869" w:rsidRDefault="00F00869" w:rsidP="00676F74">
      <w:pPr>
        <w:rPr>
          <w:color w:val="FF0000"/>
        </w:rPr>
      </w:pPr>
    </w:p>
    <w:p w14:paraId="7D02DCFE" w14:textId="77777777" w:rsidR="00F00869" w:rsidRDefault="00F00869" w:rsidP="00676F74">
      <w:pPr>
        <w:rPr>
          <w:color w:val="FF0000"/>
        </w:rPr>
      </w:pPr>
    </w:p>
    <w:p w14:paraId="71E4EADD" w14:textId="77777777" w:rsidR="00F00869" w:rsidRDefault="00F00869" w:rsidP="00676F74">
      <w:pPr>
        <w:rPr>
          <w:color w:val="FF0000"/>
        </w:rPr>
      </w:pPr>
    </w:p>
    <w:p w14:paraId="76132461" w14:textId="77777777" w:rsidR="006212E3" w:rsidRDefault="00875E1A" w:rsidP="00676F74">
      <w:r>
        <w:t xml:space="preserve">Both complexes </w:t>
      </w:r>
      <w:r>
        <w:rPr>
          <w:b/>
          <w:bCs/>
        </w:rPr>
        <w:t>11</w:t>
      </w:r>
      <w:r>
        <w:t xml:space="preserve"> and </w:t>
      </w:r>
      <w:r>
        <w:rPr>
          <w:b/>
          <w:bCs/>
        </w:rPr>
        <w:t>12</w:t>
      </w:r>
      <w:r>
        <w:t xml:space="preserve"> were used as precatalysts for hydroamination, but complex </w:t>
      </w:r>
      <w:r>
        <w:rPr>
          <w:b/>
          <w:bCs/>
        </w:rPr>
        <w:t>10</w:t>
      </w:r>
      <w:r>
        <w:t xml:space="preserve"> was not. What is a possible reason for this?</w:t>
      </w:r>
    </w:p>
    <w:p w14:paraId="5767A66E" w14:textId="77777777" w:rsidR="00875E1A" w:rsidRPr="00875E1A" w:rsidRDefault="00875E1A" w:rsidP="00676F74"/>
    <w:sectPr w:rsidR="00875E1A" w:rsidRPr="00875E1A" w:rsidSect="0053118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AC2AA" w14:textId="77777777" w:rsidR="004A40A4" w:rsidRDefault="004A40A4" w:rsidP="00946BFF">
      <w:r>
        <w:separator/>
      </w:r>
    </w:p>
  </w:endnote>
  <w:endnote w:type="continuationSeparator" w:id="0">
    <w:p w14:paraId="50219481" w14:textId="77777777" w:rsidR="004A40A4" w:rsidRDefault="004A40A4" w:rsidP="0094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43A2" w14:textId="77777777" w:rsidR="00607DCD" w:rsidRDefault="00607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6A83" w14:textId="77777777" w:rsidR="00607DCD" w:rsidRDefault="00607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2EE5" w14:textId="77777777" w:rsidR="00607DCD" w:rsidRDefault="00607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DB0FE" w14:textId="77777777" w:rsidR="004A40A4" w:rsidRDefault="004A40A4" w:rsidP="00946BFF">
      <w:r>
        <w:separator/>
      </w:r>
    </w:p>
  </w:footnote>
  <w:footnote w:type="continuationSeparator" w:id="0">
    <w:p w14:paraId="0187C5CC" w14:textId="77777777" w:rsidR="004A40A4" w:rsidRDefault="004A40A4" w:rsidP="00946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4E39" w14:textId="77777777" w:rsidR="00607DCD" w:rsidRDefault="00607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BEB7" w14:textId="77777777" w:rsidR="00607DCD" w:rsidRDefault="00607DCD" w:rsidP="00607DCD">
    <w:pPr>
      <w:pStyle w:val="Header"/>
      <w:rPr>
        <w:rFonts w:cs="Comic Sans MS"/>
        <w:color w:val="000000"/>
        <w:sz w:val="15"/>
        <w:szCs w:val="15"/>
      </w:rPr>
    </w:pPr>
    <w:r>
      <w:rPr>
        <w:rFonts w:cs="Comic Sans MS"/>
        <w:color w:val="000000"/>
        <w:sz w:val="15"/>
        <w:szCs w:val="15"/>
      </w:rPr>
      <w:t xml:space="preserve">Created by Adam Johnson, Harvey Mudd College (Adam_Johnson@hmc.edu) and posted on VIPEr (www.ionicviper.org) on January 4, 2024, Copyright Adam Johnson 2024. This work is licensed under the Creative Commons Attribution Non-commercial Share Alike International License. To view a copy of this license visit </w:t>
    </w:r>
    <w:r w:rsidRPr="00E602BC">
      <w:rPr>
        <w:rFonts w:cs="Comic Sans MS"/>
        <w:color w:val="000000"/>
        <w:sz w:val="15"/>
        <w:szCs w:val="15"/>
      </w:rPr>
      <w:t>https://creativecommons.org/licenses/by-nc-sa/4.0/</w:t>
    </w:r>
    <w:r>
      <w:rPr>
        <w:rFonts w:cs="Comic Sans MS"/>
        <w:color w:val="000000"/>
        <w:sz w:val="15"/>
        <w:szCs w:val="15"/>
      </w:rPr>
      <w:t>.</w:t>
    </w:r>
  </w:p>
  <w:p w14:paraId="05F13EA3" w14:textId="77777777" w:rsidR="00712D35" w:rsidRPr="00607DCD" w:rsidRDefault="00712D35" w:rsidP="00607D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D528" w14:textId="77777777" w:rsidR="00607DCD" w:rsidRDefault="00607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09F0"/>
    <w:multiLevelType w:val="hybridMultilevel"/>
    <w:tmpl w:val="617C39B4"/>
    <w:lvl w:ilvl="0" w:tplc="A5BA5078">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30BF7"/>
    <w:multiLevelType w:val="hybridMultilevel"/>
    <w:tmpl w:val="E026B7A0"/>
    <w:lvl w:ilvl="0" w:tplc="5EF2F8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2184117">
    <w:abstractNumId w:val="1"/>
  </w:num>
  <w:num w:numId="2" w16cid:durableId="1101102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8F"/>
    <w:rsid w:val="00001D56"/>
    <w:rsid w:val="00011B3F"/>
    <w:rsid w:val="0001589D"/>
    <w:rsid w:val="000169C2"/>
    <w:rsid w:val="00021258"/>
    <w:rsid w:val="00022BE4"/>
    <w:rsid w:val="00027C4B"/>
    <w:rsid w:val="000332EA"/>
    <w:rsid w:val="00033C68"/>
    <w:rsid w:val="000343E1"/>
    <w:rsid w:val="00035866"/>
    <w:rsid w:val="0003732C"/>
    <w:rsid w:val="000406CA"/>
    <w:rsid w:val="00043BEE"/>
    <w:rsid w:val="0004603E"/>
    <w:rsid w:val="00047E89"/>
    <w:rsid w:val="00047FF3"/>
    <w:rsid w:val="0005447F"/>
    <w:rsid w:val="00060673"/>
    <w:rsid w:val="00061658"/>
    <w:rsid w:val="00070F75"/>
    <w:rsid w:val="00087B9E"/>
    <w:rsid w:val="000916AF"/>
    <w:rsid w:val="000950C1"/>
    <w:rsid w:val="000A557C"/>
    <w:rsid w:val="000B2EF7"/>
    <w:rsid w:val="000B5219"/>
    <w:rsid w:val="000B6BAF"/>
    <w:rsid w:val="000C015E"/>
    <w:rsid w:val="000C1C99"/>
    <w:rsid w:val="000C40D8"/>
    <w:rsid w:val="000C59D7"/>
    <w:rsid w:val="000D6DA1"/>
    <w:rsid w:val="000D7A3A"/>
    <w:rsid w:val="000F1202"/>
    <w:rsid w:val="000F268A"/>
    <w:rsid w:val="000F3AF0"/>
    <w:rsid w:val="00104AFD"/>
    <w:rsid w:val="00110F1A"/>
    <w:rsid w:val="0012041A"/>
    <w:rsid w:val="001245D6"/>
    <w:rsid w:val="00137DE3"/>
    <w:rsid w:val="00145020"/>
    <w:rsid w:val="00146AC7"/>
    <w:rsid w:val="001478FE"/>
    <w:rsid w:val="00151EA5"/>
    <w:rsid w:val="001616DA"/>
    <w:rsid w:val="00163240"/>
    <w:rsid w:val="00164444"/>
    <w:rsid w:val="00166DED"/>
    <w:rsid w:val="00166EBB"/>
    <w:rsid w:val="001713B6"/>
    <w:rsid w:val="001716F1"/>
    <w:rsid w:val="00174352"/>
    <w:rsid w:val="00176C25"/>
    <w:rsid w:val="00180EFA"/>
    <w:rsid w:val="0018250D"/>
    <w:rsid w:val="00193CBE"/>
    <w:rsid w:val="00194AE4"/>
    <w:rsid w:val="00194C1F"/>
    <w:rsid w:val="001A47D2"/>
    <w:rsid w:val="001A5692"/>
    <w:rsid w:val="001C12D8"/>
    <w:rsid w:val="001D4E50"/>
    <w:rsid w:val="001D7D28"/>
    <w:rsid w:val="001E117D"/>
    <w:rsid w:val="001F27F2"/>
    <w:rsid w:val="001F2F00"/>
    <w:rsid w:val="001F648F"/>
    <w:rsid w:val="0020126F"/>
    <w:rsid w:val="0021167F"/>
    <w:rsid w:val="00211819"/>
    <w:rsid w:val="0021276A"/>
    <w:rsid w:val="0021332E"/>
    <w:rsid w:val="00216A45"/>
    <w:rsid w:val="002178A1"/>
    <w:rsid w:val="0022040D"/>
    <w:rsid w:val="0023132F"/>
    <w:rsid w:val="002313A9"/>
    <w:rsid w:val="002324A2"/>
    <w:rsid w:val="00260921"/>
    <w:rsid w:val="00260FC8"/>
    <w:rsid w:val="0026346E"/>
    <w:rsid w:val="002668F7"/>
    <w:rsid w:val="00271551"/>
    <w:rsid w:val="00275436"/>
    <w:rsid w:val="002764DF"/>
    <w:rsid w:val="00281251"/>
    <w:rsid w:val="002871C4"/>
    <w:rsid w:val="00295263"/>
    <w:rsid w:val="0029619D"/>
    <w:rsid w:val="002A0B0D"/>
    <w:rsid w:val="002A2EE6"/>
    <w:rsid w:val="002A4381"/>
    <w:rsid w:val="002A6454"/>
    <w:rsid w:val="002B0196"/>
    <w:rsid w:val="002C56E5"/>
    <w:rsid w:val="002C6905"/>
    <w:rsid w:val="002C7089"/>
    <w:rsid w:val="002D276E"/>
    <w:rsid w:val="002E58CD"/>
    <w:rsid w:val="002F2B5D"/>
    <w:rsid w:val="002F358F"/>
    <w:rsid w:val="002F40E7"/>
    <w:rsid w:val="003005FB"/>
    <w:rsid w:val="00311A36"/>
    <w:rsid w:val="00315723"/>
    <w:rsid w:val="00316E5A"/>
    <w:rsid w:val="003174A8"/>
    <w:rsid w:val="00326417"/>
    <w:rsid w:val="00332C44"/>
    <w:rsid w:val="0033664B"/>
    <w:rsid w:val="0034731A"/>
    <w:rsid w:val="00355E3C"/>
    <w:rsid w:val="0039071D"/>
    <w:rsid w:val="003928E0"/>
    <w:rsid w:val="00393FDE"/>
    <w:rsid w:val="00395FBB"/>
    <w:rsid w:val="003A0D7E"/>
    <w:rsid w:val="003A4120"/>
    <w:rsid w:val="003A4AA4"/>
    <w:rsid w:val="003B3548"/>
    <w:rsid w:val="003B59FE"/>
    <w:rsid w:val="003B7106"/>
    <w:rsid w:val="003C1E32"/>
    <w:rsid w:val="003C2C9E"/>
    <w:rsid w:val="003C3E3F"/>
    <w:rsid w:val="003C675B"/>
    <w:rsid w:val="003D1550"/>
    <w:rsid w:val="003D1FAB"/>
    <w:rsid w:val="003D30FB"/>
    <w:rsid w:val="003D37ED"/>
    <w:rsid w:val="003D45C1"/>
    <w:rsid w:val="003E065F"/>
    <w:rsid w:val="003E0931"/>
    <w:rsid w:val="003E28D8"/>
    <w:rsid w:val="003F7848"/>
    <w:rsid w:val="00403C0B"/>
    <w:rsid w:val="00403F22"/>
    <w:rsid w:val="004055A0"/>
    <w:rsid w:val="004118F8"/>
    <w:rsid w:val="004214B4"/>
    <w:rsid w:val="00431309"/>
    <w:rsid w:val="004317AC"/>
    <w:rsid w:val="00435716"/>
    <w:rsid w:val="004368AA"/>
    <w:rsid w:val="00447083"/>
    <w:rsid w:val="00450767"/>
    <w:rsid w:val="0045188F"/>
    <w:rsid w:val="00462D33"/>
    <w:rsid w:val="004631BA"/>
    <w:rsid w:val="0046638E"/>
    <w:rsid w:val="004711F4"/>
    <w:rsid w:val="004756E8"/>
    <w:rsid w:val="00476741"/>
    <w:rsid w:val="00481404"/>
    <w:rsid w:val="004860B5"/>
    <w:rsid w:val="00491E25"/>
    <w:rsid w:val="004A40A4"/>
    <w:rsid w:val="004A73BD"/>
    <w:rsid w:val="004B713C"/>
    <w:rsid w:val="004C0151"/>
    <w:rsid w:val="004C4F73"/>
    <w:rsid w:val="004C534C"/>
    <w:rsid w:val="004D55AB"/>
    <w:rsid w:val="004E47E5"/>
    <w:rsid w:val="004E7516"/>
    <w:rsid w:val="004F0A30"/>
    <w:rsid w:val="004F10A1"/>
    <w:rsid w:val="004F29FF"/>
    <w:rsid w:val="00500F71"/>
    <w:rsid w:val="005018E0"/>
    <w:rsid w:val="005018E4"/>
    <w:rsid w:val="005028A6"/>
    <w:rsid w:val="00514A7E"/>
    <w:rsid w:val="00516882"/>
    <w:rsid w:val="00520875"/>
    <w:rsid w:val="005234E7"/>
    <w:rsid w:val="00531088"/>
    <w:rsid w:val="0053118C"/>
    <w:rsid w:val="0053130A"/>
    <w:rsid w:val="005349E2"/>
    <w:rsid w:val="00534F7C"/>
    <w:rsid w:val="00537CB8"/>
    <w:rsid w:val="00540EFB"/>
    <w:rsid w:val="00547C47"/>
    <w:rsid w:val="00550D45"/>
    <w:rsid w:val="00552896"/>
    <w:rsid w:val="00554A1B"/>
    <w:rsid w:val="00556CAC"/>
    <w:rsid w:val="005603CC"/>
    <w:rsid w:val="0056225F"/>
    <w:rsid w:val="0056432B"/>
    <w:rsid w:val="005664BD"/>
    <w:rsid w:val="00575B0B"/>
    <w:rsid w:val="00576EB8"/>
    <w:rsid w:val="00577A0F"/>
    <w:rsid w:val="00586CF5"/>
    <w:rsid w:val="00586D7C"/>
    <w:rsid w:val="00594D2D"/>
    <w:rsid w:val="0059633B"/>
    <w:rsid w:val="005969C1"/>
    <w:rsid w:val="005A53E9"/>
    <w:rsid w:val="005A6D9D"/>
    <w:rsid w:val="005C1C2D"/>
    <w:rsid w:val="005D0B7C"/>
    <w:rsid w:val="005D1CC3"/>
    <w:rsid w:val="005D1DDD"/>
    <w:rsid w:val="005D3D30"/>
    <w:rsid w:val="005D6305"/>
    <w:rsid w:val="005D75F7"/>
    <w:rsid w:val="005E2438"/>
    <w:rsid w:val="005F170C"/>
    <w:rsid w:val="005F1B1C"/>
    <w:rsid w:val="00607631"/>
    <w:rsid w:val="00607DCD"/>
    <w:rsid w:val="0061588B"/>
    <w:rsid w:val="00616746"/>
    <w:rsid w:val="006212E3"/>
    <w:rsid w:val="0062352D"/>
    <w:rsid w:val="00625978"/>
    <w:rsid w:val="00632202"/>
    <w:rsid w:val="0063384A"/>
    <w:rsid w:val="00644A90"/>
    <w:rsid w:val="00671D15"/>
    <w:rsid w:val="00675B1D"/>
    <w:rsid w:val="00676F74"/>
    <w:rsid w:val="006860DC"/>
    <w:rsid w:val="006873FD"/>
    <w:rsid w:val="00694FF3"/>
    <w:rsid w:val="00695C29"/>
    <w:rsid w:val="006A3D21"/>
    <w:rsid w:val="006B52B6"/>
    <w:rsid w:val="006B661C"/>
    <w:rsid w:val="006B781F"/>
    <w:rsid w:val="006B7E51"/>
    <w:rsid w:val="006C0233"/>
    <w:rsid w:val="006C28B1"/>
    <w:rsid w:val="006C430F"/>
    <w:rsid w:val="006C6C02"/>
    <w:rsid w:val="006C79CA"/>
    <w:rsid w:val="006D0F73"/>
    <w:rsid w:val="006D4DF0"/>
    <w:rsid w:val="006E4727"/>
    <w:rsid w:val="006E68B1"/>
    <w:rsid w:val="0070084B"/>
    <w:rsid w:val="007010C9"/>
    <w:rsid w:val="00702D24"/>
    <w:rsid w:val="007126FD"/>
    <w:rsid w:val="00712D35"/>
    <w:rsid w:val="0071303D"/>
    <w:rsid w:val="00714BC2"/>
    <w:rsid w:val="00720E91"/>
    <w:rsid w:val="007276B1"/>
    <w:rsid w:val="00737E33"/>
    <w:rsid w:val="00737F2C"/>
    <w:rsid w:val="0074238B"/>
    <w:rsid w:val="00745A43"/>
    <w:rsid w:val="00756082"/>
    <w:rsid w:val="00757225"/>
    <w:rsid w:val="00760E45"/>
    <w:rsid w:val="00763C69"/>
    <w:rsid w:val="007719FE"/>
    <w:rsid w:val="00776051"/>
    <w:rsid w:val="0077677C"/>
    <w:rsid w:val="007852F6"/>
    <w:rsid w:val="00791D93"/>
    <w:rsid w:val="00791F60"/>
    <w:rsid w:val="00792777"/>
    <w:rsid w:val="007A48E7"/>
    <w:rsid w:val="007A7FB3"/>
    <w:rsid w:val="007B0C2A"/>
    <w:rsid w:val="007B5F06"/>
    <w:rsid w:val="007B64F0"/>
    <w:rsid w:val="007B65F1"/>
    <w:rsid w:val="007C1A57"/>
    <w:rsid w:val="007C6C63"/>
    <w:rsid w:val="007D5A0E"/>
    <w:rsid w:val="007D6C41"/>
    <w:rsid w:val="007E4A01"/>
    <w:rsid w:val="007E514F"/>
    <w:rsid w:val="007F172E"/>
    <w:rsid w:val="007F31A6"/>
    <w:rsid w:val="007F32F6"/>
    <w:rsid w:val="007F57DF"/>
    <w:rsid w:val="007F748C"/>
    <w:rsid w:val="008026ED"/>
    <w:rsid w:val="00802A41"/>
    <w:rsid w:val="00803C92"/>
    <w:rsid w:val="00805AE6"/>
    <w:rsid w:val="00805CEC"/>
    <w:rsid w:val="0081043A"/>
    <w:rsid w:val="00811B13"/>
    <w:rsid w:val="00832B51"/>
    <w:rsid w:val="00832E83"/>
    <w:rsid w:val="0083428F"/>
    <w:rsid w:val="00835AD3"/>
    <w:rsid w:val="00840792"/>
    <w:rsid w:val="008452BF"/>
    <w:rsid w:val="0086556C"/>
    <w:rsid w:val="00870E4B"/>
    <w:rsid w:val="00871F6A"/>
    <w:rsid w:val="00875E1A"/>
    <w:rsid w:val="00876A36"/>
    <w:rsid w:val="00877D21"/>
    <w:rsid w:val="0088564A"/>
    <w:rsid w:val="008901A3"/>
    <w:rsid w:val="00892A8B"/>
    <w:rsid w:val="008932F4"/>
    <w:rsid w:val="008B1004"/>
    <w:rsid w:val="008B1171"/>
    <w:rsid w:val="008B2B21"/>
    <w:rsid w:val="008B5349"/>
    <w:rsid w:val="008B7865"/>
    <w:rsid w:val="008C02B7"/>
    <w:rsid w:val="008C5CFD"/>
    <w:rsid w:val="008D4765"/>
    <w:rsid w:val="008D618D"/>
    <w:rsid w:val="008E4F53"/>
    <w:rsid w:val="00905162"/>
    <w:rsid w:val="00910F67"/>
    <w:rsid w:val="00912FBC"/>
    <w:rsid w:val="00912FF0"/>
    <w:rsid w:val="0091368B"/>
    <w:rsid w:val="00914627"/>
    <w:rsid w:val="00916A39"/>
    <w:rsid w:val="00920F8C"/>
    <w:rsid w:val="00926A6C"/>
    <w:rsid w:val="00930408"/>
    <w:rsid w:val="0094180B"/>
    <w:rsid w:val="00943648"/>
    <w:rsid w:val="0094422A"/>
    <w:rsid w:val="00946BFF"/>
    <w:rsid w:val="00946F53"/>
    <w:rsid w:val="009509C0"/>
    <w:rsid w:val="00956B7B"/>
    <w:rsid w:val="00957D64"/>
    <w:rsid w:val="00971780"/>
    <w:rsid w:val="0097247B"/>
    <w:rsid w:val="0097556C"/>
    <w:rsid w:val="00982F5F"/>
    <w:rsid w:val="00983BF3"/>
    <w:rsid w:val="00986BDB"/>
    <w:rsid w:val="009944CC"/>
    <w:rsid w:val="00997B6C"/>
    <w:rsid w:val="009A1A55"/>
    <w:rsid w:val="009A2CAA"/>
    <w:rsid w:val="009A3ED4"/>
    <w:rsid w:val="009A61AC"/>
    <w:rsid w:val="009A6CF8"/>
    <w:rsid w:val="009B3BFF"/>
    <w:rsid w:val="009B3CDD"/>
    <w:rsid w:val="009B3DDF"/>
    <w:rsid w:val="009B47D4"/>
    <w:rsid w:val="009B6FB1"/>
    <w:rsid w:val="009C511A"/>
    <w:rsid w:val="009C5161"/>
    <w:rsid w:val="009C6BD0"/>
    <w:rsid w:val="009D08E6"/>
    <w:rsid w:val="009D7044"/>
    <w:rsid w:val="009D7C85"/>
    <w:rsid w:val="009E556F"/>
    <w:rsid w:val="009E57A1"/>
    <w:rsid w:val="009F091B"/>
    <w:rsid w:val="00A058A3"/>
    <w:rsid w:val="00A22829"/>
    <w:rsid w:val="00A31EB5"/>
    <w:rsid w:val="00A33A0E"/>
    <w:rsid w:val="00A4267B"/>
    <w:rsid w:val="00A426F5"/>
    <w:rsid w:val="00A44DBF"/>
    <w:rsid w:val="00A549CD"/>
    <w:rsid w:val="00A54E2E"/>
    <w:rsid w:val="00A55B96"/>
    <w:rsid w:val="00A56DB8"/>
    <w:rsid w:val="00A63DF2"/>
    <w:rsid w:val="00A7016E"/>
    <w:rsid w:val="00A70D66"/>
    <w:rsid w:val="00A74A99"/>
    <w:rsid w:val="00A75827"/>
    <w:rsid w:val="00A77099"/>
    <w:rsid w:val="00A849D1"/>
    <w:rsid w:val="00A875CA"/>
    <w:rsid w:val="00A918FE"/>
    <w:rsid w:val="00AB1CE0"/>
    <w:rsid w:val="00AB2801"/>
    <w:rsid w:val="00AB38FB"/>
    <w:rsid w:val="00AB5112"/>
    <w:rsid w:val="00AC3035"/>
    <w:rsid w:val="00AC6EB9"/>
    <w:rsid w:val="00AD1A67"/>
    <w:rsid w:val="00AD2BA2"/>
    <w:rsid w:val="00AD7D31"/>
    <w:rsid w:val="00AE1901"/>
    <w:rsid w:val="00AE323E"/>
    <w:rsid w:val="00AE355B"/>
    <w:rsid w:val="00AE58CE"/>
    <w:rsid w:val="00AF2FFB"/>
    <w:rsid w:val="00AF3703"/>
    <w:rsid w:val="00AF3F17"/>
    <w:rsid w:val="00AF57C7"/>
    <w:rsid w:val="00AF6F3B"/>
    <w:rsid w:val="00B00683"/>
    <w:rsid w:val="00B02C36"/>
    <w:rsid w:val="00B04D9B"/>
    <w:rsid w:val="00B07B41"/>
    <w:rsid w:val="00B14A29"/>
    <w:rsid w:val="00B2154C"/>
    <w:rsid w:val="00B2306C"/>
    <w:rsid w:val="00B23409"/>
    <w:rsid w:val="00B26C6F"/>
    <w:rsid w:val="00B27FE4"/>
    <w:rsid w:val="00B3264C"/>
    <w:rsid w:val="00B330E9"/>
    <w:rsid w:val="00B35CF3"/>
    <w:rsid w:val="00B36D56"/>
    <w:rsid w:val="00B4117A"/>
    <w:rsid w:val="00B467BF"/>
    <w:rsid w:val="00B51879"/>
    <w:rsid w:val="00B61700"/>
    <w:rsid w:val="00B61B0C"/>
    <w:rsid w:val="00B61D9B"/>
    <w:rsid w:val="00B64533"/>
    <w:rsid w:val="00B6565E"/>
    <w:rsid w:val="00B67D6B"/>
    <w:rsid w:val="00B7393F"/>
    <w:rsid w:val="00B74B6C"/>
    <w:rsid w:val="00B74D78"/>
    <w:rsid w:val="00B75B27"/>
    <w:rsid w:val="00B80421"/>
    <w:rsid w:val="00B836F7"/>
    <w:rsid w:val="00B92064"/>
    <w:rsid w:val="00BA1AAC"/>
    <w:rsid w:val="00BB2324"/>
    <w:rsid w:val="00BC1E71"/>
    <w:rsid w:val="00BC723C"/>
    <w:rsid w:val="00BD3588"/>
    <w:rsid w:val="00BD3B3A"/>
    <w:rsid w:val="00BD583B"/>
    <w:rsid w:val="00BD58C5"/>
    <w:rsid w:val="00BE1BF0"/>
    <w:rsid w:val="00BE66D5"/>
    <w:rsid w:val="00BF37AB"/>
    <w:rsid w:val="00BF749D"/>
    <w:rsid w:val="00C01F63"/>
    <w:rsid w:val="00C13CF1"/>
    <w:rsid w:val="00C26BAD"/>
    <w:rsid w:val="00C27FDF"/>
    <w:rsid w:val="00C32E12"/>
    <w:rsid w:val="00C57342"/>
    <w:rsid w:val="00C604D0"/>
    <w:rsid w:val="00C64855"/>
    <w:rsid w:val="00C70276"/>
    <w:rsid w:val="00C7207C"/>
    <w:rsid w:val="00C73A43"/>
    <w:rsid w:val="00C75CAF"/>
    <w:rsid w:val="00C764A5"/>
    <w:rsid w:val="00C83EA9"/>
    <w:rsid w:val="00C900FA"/>
    <w:rsid w:val="00C90F79"/>
    <w:rsid w:val="00CA45EF"/>
    <w:rsid w:val="00CA4B4A"/>
    <w:rsid w:val="00CA6F8F"/>
    <w:rsid w:val="00CB07D5"/>
    <w:rsid w:val="00CB5168"/>
    <w:rsid w:val="00CC1862"/>
    <w:rsid w:val="00CC1B9C"/>
    <w:rsid w:val="00CC6793"/>
    <w:rsid w:val="00CD419B"/>
    <w:rsid w:val="00CF0FFF"/>
    <w:rsid w:val="00CF2DB8"/>
    <w:rsid w:val="00CF3C32"/>
    <w:rsid w:val="00D070DA"/>
    <w:rsid w:val="00D11D14"/>
    <w:rsid w:val="00D21E48"/>
    <w:rsid w:val="00D23FDC"/>
    <w:rsid w:val="00D260C1"/>
    <w:rsid w:val="00D27B9D"/>
    <w:rsid w:val="00D40845"/>
    <w:rsid w:val="00D41423"/>
    <w:rsid w:val="00D46AD4"/>
    <w:rsid w:val="00D46EDB"/>
    <w:rsid w:val="00D516A3"/>
    <w:rsid w:val="00D54194"/>
    <w:rsid w:val="00D614FC"/>
    <w:rsid w:val="00D632B5"/>
    <w:rsid w:val="00D661C5"/>
    <w:rsid w:val="00D75657"/>
    <w:rsid w:val="00D76F0C"/>
    <w:rsid w:val="00D87E3B"/>
    <w:rsid w:val="00D91742"/>
    <w:rsid w:val="00D96E10"/>
    <w:rsid w:val="00D9711A"/>
    <w:rsid w:val="00DA16CB"/>
    <w:rsid w:val="00DA2668"/>
    <w:rsid w:val="00DA4D9D"/>
    <w:rsid w:val="00DA7086"/>
    <w:rsid w:val="00DA782E"/>
    <w:rsid w:val="00DB40B3"/>
    <w:rsid w:val="00DB58D6"/>
    <w:rsid w:val="00DC4275"/>
    <w:rsid w:val="00DC701D"/>
    <w:rsid w:val="00DD0F6E"/>
    <w:rsid w:val="00DD2582"/>
    <w:rsid w:val="00DD611B"/>
    <w:rsid w:val="00DD6505"/>
    <w:rsid w:val="00DE7514"/>
    <w:rsid w:val="00DF1093"/>
    <w:rsid w:val="00DF29DB"/>
    <w:rsid w:val="00E0164C"/>
    <w:rsid w:val="00E02375"/>
    <w:rsid w:val="00E12D1C"/>
    <w:rsid w:val="00E15565"/>
    <w:rsid w:val="00E17D62"/>
    <w:rsid w:val="00E20759"/>
    <w:rsid w:val="00E20C29"/>
    <w:rsid w:val="00E25D4C"/>
    <w:rsid w:val="00E33A21"/>
    <w:rsid w:val="00E4068F"/>
    <w:rsid w:val="00E40BD4"/>
    <w:rsid w:val="00E40F56"/>
    <w:rsid w:val="00E44505"/>
    <w:rsid w:val="00E61F84"/>
    <w:rsid w:val="00E62DC1"/>
    <w:rsid w:val="00E64DAC"/>
    <w:rsid w:val="00E71027"/>
    <w:rsid w:val="00E726AB"/>
    <w:rsid w:val="00E807B0"/>
    <w:rsid w:val="00EA079C"/>
    <w:rsid w:val="00EA5830"/>
    <w:rsid w:val="00EC18B1"/>
    <w:rsid w:val="00ED50BE"/>
    <w:rsid w:val="00ED7A79"/>
    <w:rsid w:val="00EE3DF2"/>
    <w:rsid w:val="00EF10D2"/>
    <w:rsid w:val="00EF4BB8"/>
    <w:rsid w:val="00EF7B2D"/>
    <w:rsid w:val="00F00275"/>
    <w:rsid w:val="00F00869"/>
    <w:rsid w:val="00F055BB"/>
    <w:rsid w:val="00F056E5"/>
    <w:rsid w:val="00F14C5D"/>
    <w:rsid w:val="00F22889"/>
    <w:rsid w:val="00F25764"/>
    <w:rsid w:val="00F3482C"/>
    <w:rsid w:val="00F35F2D"/>
    <w:rsid w:val="00F422AE"/>
    <w:rsid w:val="00F45148"/>
    <w:rsid w:val="00F50249"/>
    <w:rsid w:val="00F612F3"/>
    <w:rsid w:val="00F74995"/>
    <w:rsid w:val="00F81F90"/>
    <w:rsid w:val="00F9426C"/>
    <w:rsid w:val="00F96390"/>
    <w:rsid w:val="00F97697"/>
    <w:rsid w:val="00FA3800"/>
    <w:rsid w:val="00FA4C40"/>
    <w:rsid w:val="00FA693A"/>
    <w:rsid w:val="00FC1FEE"/>
    <w:rsid w:val="00FC77F6"/>
    <w:rsid w:val="00FD228B"/>
    <w:rsid w:val="00FD3586"/>
    <w:rsid w:val="00FD484E"/>
    <w:rsid w:val="00FE1661"/>
    <w:rsid w:val="00FE59E4"/>
    <w:rsid w:val="00FF056E"/>
    <w:rsid w:val="00FF08C9"/>
    <w:rsid w:val="00FF5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E54856"/>
  <w14:defaultImageDpi w14:val="32767"/>
  <w15:chartTrackingRefBased/>
  <w15:docId w15:val="{669CD6B6-9882-D344-AC67-26024316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F3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2375"/>
    <w:rPr>
      <w:rFonts w:ascii="Times New Roman" w:hAnsi="Times New Roman" w:cs="Times New Roman"/>
    </w:rPr>
  </w:style>
  <w:style w:type="character" w:styleId="Hyperlink">
    <w:name w:val="Hyperlink"/>
    <w:basedOn w:val="DefaultParagraphFont"/>
    <w:uiPriority w:val="99"/>
    <w:unhideWhenUsed/>
    <w:rsid w:val="00E4068F"/>
    <w:rPr>
      <w:color w:val="0563C1" w:themeColor="hyperlink"/>
      <w:u w:val="single"/>
    </w:rPr>
  </w:style>
  <w:style w:type="character" w:styleId="UnresolvedMention">
    <w:name w:val="Unresolved Mention"/>
    <w:basedOn w:val="DefaultParagraphFont"/>
    <w:uiPriority w:val="99"/>
    <w:rsid w:val="00E4068F"/>
    <w:rPr>
      <w:color w:val="605E5C"/>
      <w:shd w:val="clear" w:color="auto" w:fill="E1DFDD"/>
    </w:rPr>
  </w:style>
  <w:style w:type="paragraph" w:styleId="ListParagraph">
    <w:name w:val="List Paragraph"/>
    <w:basedOn w:val="Normal"/>
    <w:uiPriority w:val="34"/>
    <w:qFormat/>
    <w:rsid w:val="00AE355B"/>
    <w:pPr>
      <w:ind w:left="720"/>
      <w:contextualSpacing/>
    </w:pPr>
  </w:style>
  <w:style w:type="paragraph" w:styleId="FootnoteText">
    <w:name w:val="footnote text"/>
    <w:basedOn w:val="Normal"/>
    <w:link w:val="FootnoteTextChar"/>
    <w:uiPriority w:val="99"/>
    <w:semiHidden/>
    <w:unhideWhenUsed/>
    <w:rsid w:val="00946BFF"/>
    <w:rPr>
      <w:sz w:val="20"/>
      <w:szCs w:val="20"/>
    </w:rPr>
  </w:style>
  <w:style w:type="character" w:customStyle="1" w:styleId="FootnoteTextChar">
    <w:name w:val="Footnote Text Char"/>
    <w:basedOn w:val="DefaultParagraphFont"/>
    <w:link w:val="FootnoteText"/>
    <w:uiPriority w:val="99"/>
    <w:semiHidden/>
    <w:rsid w:val="00946BFF"/>
    <w:rPr>
      <w:sz w:val="20"/>
      <w:szCs w:val="20"/>
    </w:rPr>
  </w:style>
  <w:style w:type="character" w:styleId="FootnoteReference">
    <w:name w:val="footnote reference"/>
    <w:basedOn w:val="DefaultParagraphFont"/>
    <w:uiPriority w:val="99"/>
    <w:semiHidden/>
    <w:unhideWhenUsed/>
    <w:rsid w:val="00946BFF"/>
    <w:rPr>
      <w:vertAlign w:val="superscript"/>
    </w:rPr>
  </w:style>
  <w:style w:type="character" w:styleId="PlaceholderText">
    <w:name w:val="Placeholder Text"/>
    <w:basedOn w:val="DefaultParagraphFont"/>
    <w:uiPriority w:val="99"/>
    <w:semiHidden/>
    <w:rsid w:val="002F358F"/>
    <w:rPr>
      <w:color w:val="808080"/>
    </w:rPr>
  </w:style>
  <w:style w:type="paragraph" w:styleId="Revision">
    <w:name w:val="Revision"/>
    <w:hidden/>
    <w:uiPriority w:val="99"/>
    <w:semiHidden/>
    <w:rsid w:val="003B7106"/>
  </w:style>
  <w:style w:type="paragraph" w:styleId="Header">
    <w:name w:val="header"/>
    <w:basedOn w:val="Normal"/>
    <w:link w:val="HeaderChar"/>
    <w:uiPriority w:val="99"/>
    <w:unhideWhenUsed/>
    <w:rsid w:val="00712D35"/>
    <w:pPr>
      <w:tabs>
        <w:tab w:val="center" w:pos="4680"/>
        <w:tab w:val="right" w:pos="9360"/>
      </w:tabs>
    </w:pPr>
  </w:style>
  <w:style w:type="character" w:customStyle="1" w:styleId="HeaderChar">
    <w:name w:val="Header Char"/>
    <w:basedOn w:val="DefaultParagraphFont"/>
    <w:link w:val="Header"/>
    <w:uiPriority w:val="99"/>
    <w:rsid w:val="00712D35"/>
  </w:style>
  <w:style w:type="paragraph" w:styleId="Footer">
    <w:name w:val="footer"/>
    <w:basedOn w:val="Normal"/>
    <w:link w:val="FooterChar"/>
    <w:uiPriority w:val="99"/>
    <w:unhideWhenUsed/>
    <w:rsid w:val="00712D35"/>
    <w:pPr>
      <w:tabs>
        <w:tab w:val="center" w:pos="4680"/>
        <w:tab w:val="right" w:pos="9360"/>
      </w:tabs>
    </w:pPr>
  </w:style>
  <w:style w:type="character" w:customStyle="1" w:styleId="FooterChar">
    <w:name w:val="Footer Char"/>
    <w:basedOn w:val="DefaultParagraphFont"/>
    <w:link w:val="Footer"/>
    <w:uiPriority w:val="99"/>
    <w:rsid w:val="00712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7889">
      <w:bodyDiv w:val="1"/>
      <w:marLeft w:val="0"/>
      <w:marRight w:val="0"/>
      <w:marTop w:val="0"/>
      <w:marBottom w:val="0"/>
      <w:divBdr>
        <w:top w:val="none" w:sz="0" w:space="0" w:color="auto"/>
        <w:left w:val="none" w:sz="0" w:space="0" w:color="auto"/>
        <w:bottom w:val="none" w:sz="0" w:space="0" w:color="auto"/>
        <w:right w:val="none" w:sz="0" w:space="0" w:color="auto"/>
      </w:divBdr>
      <w:divsChild>
        <w:div w:id="803887484">
          <w:marLeft w:val="0"/>
          <w:marRight w:val="0"/>
          <w:marTop w:val="0"/>
          <w:marBottom w:val="0"/>
          <w:divBdr>
            <w:top w:val="none" w:sz="0" w:space="0" w:color="auto"/>
            <w:left w:val="none" w:sz="0" w:space="0" w:color="auto"/>
            <w:bottom w:val="none" w:sz="0" w:space="0" w:color="auto"/>
            <w:right w:val="none" w:sz="0" w:space="0" w:color="auto"/>
          </w:divBdr>
          <w:divsChild>
            <w:div w:id="944308959">
              <w:marLeft w:val="0"/>
              <w:marRight w:val="0"/>
              <w:marTop w:val="0"/>
              <w:marBottom w:val="0"/>
              <w:divBdr>
                <w:top w:val="none" w:sz="0" w:space="0" w:color="auto"/>
                <w:left w:val="none" w:sz="0" w:space="0" w:color="auto"/>
                <w:bottom w:val="none" w:sz="0" w:space="0" w:color="auto"/>
                <w:right w:val="none" w:sz="0" w:space="0" w:color="auto"/>
              </w:divBdr>
              <w:divsChild>
                <w:div w:id="1779524676">
                  <w:marLeft w:val="0"/>
                  <w:marRight w:val="0"/>
                  <w:marTop w:val="0"/>
                  <w:marBottom w:val="0"/>
                  <w:divBdr>
                    <w:top w:val="none" w:sz="0" w:space="0" w:color="auto"/>
                    <w:left w:val="none" w:sz="0" w:space="0" w:color="auto"/>
                    <w:bottom w:val="none" w:sz="0" w:space="0" w:color="auto"/>
                    <w:right w:val="none" w:sz="0" w:space="0" w:color="auto"/>
                  </w:divBdr>
                  <w:divsChild>
                    <w:div w:id="1149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27529">
      <w:bodyDiv w:val="1"/>
      <w:marLeft w:val="0"/>
      <w:marRight w:val="0"/>
      <w:marTop w:val="0"/>
      <w:marBottom w:val="0"/>
      <w:divBdr>
        <w:top w:val="none" w:sz="0" w:space="0" w:color="auto"/>
        <w:left w:val="none" w:sz="0" w:space="0" w:color="auto"/>
        <w:bottom w:val="none" w:sz="0" w:space="0" w:color="auto"/>
        <w:right w:val="none" w:sz="0" w:space="0" w:color="auto"/>
      </w:divBdr>
      <w:divsChild>
        <w:div w:id="1082294178">
          <w:marLeft w:val="0"/>
          <w:marRight w:val="0"/>
          <w:marTop w:val="0"/>
          <w:marBottom w:val="0"/>
          <w:divBdr>
            <w:top w:val="none" w:sz="0" w:space="0" w:color="auto"/>
            <w:left w:val="none" w:sz="0" w:space="0" w:color="auto"/>
            <w:bottom w:val="none" w:sz="0" w:space="0" w:color="auto"/>
            <w:right w:val="none" w:sz="0" w:space="0" w:color="auto"/>
          </w:divBdr>
          <w:divsChild>
            <w:div w:id="1963805926">
              <w:marLeft w:val="0"/>
              <w:marRight w:val="0"/>
              <w:marTop w:val="0"/>
              <w:marBottom w:val="0"/>
              <w:divBdr>
                <w:top w:val="none" w:sz="0" w:space="0" w:color="auto"/>
                <w:left w:val="none" w:sz="0" w:space="0" w:color="auto"/>
                <w:bottom w:val="none" w:sz="0" w:space="0" w:color="auto"/>
                <w:right w:val="none" w:sz="0" w:space="0" w:color="auto"/>
              </w:divBdr>
              <w:divsChild>
                <w:div w:id="15209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831718">
      <w:bodyDiv w:val="1"/>
      <w:marLeft w:val="0"/>
      <w:marRight w:val="0"/>
      <w:marTop w:val="0"/>
      <w:marBottom w:val="0"/>
      <w:divBdr>
        <w:top w:val="none" w:sz="0" w:space="0" w:color="auto"/>
        <w:left w:val="none" w:sz="0" w:space="0" w:color="auto"/>
        <w:bottom w:val="none" w:sz="0" w:space="0" w:color="auto"/>
        <w:right w:val="none" w:sz="0" w:space="0" w:color="auto"/>
      </w:divBdr>
      <w:divsChild>
        <w:div w:id="1347050700">
          <w:marLeft w:val="0"/>
          <w:marRight w:val="0"/>
          <w:marTop w:val="0"/>
          <w:marBottom w:val="0"/>
          <w:divBdr>
            <w:top w:val="none" w:sz="0" w:space="0" w:color="auto"/>
            <w:left w:val="none" w:sz="0" w:space="0" w:color="auto"/>
            <w:bottom w:val="none" w:sz="0" w:space="0" w:color="auto"/>
            <w:right w:val="none" w:sz="0" w:space="0" w:color="auto"/>
          </w:divBdr>
          <w:divsChild>
            <w:div w:id="2018538142">
              <w:marLeft w:val="0"/>
              <w:marRight w:val="0"/>
              <w:marTop w:val="0"/>
              <w:marBottom w:val="0"/>
              <w:divBdr>
                <w:top w:val="none" w:sz="0" w:space="0" w:color="auto"/>
                <w:left w:val="none" w:sz="0" w:space="0" w:color="auto"/>
                <w:bottom w:val="none" w:sz="0" w:space="0" w:color="auto"/>
                <w:right w:val="none" w:sz="0" w:space="0" w:color="auto"/>
              </w:divBdr>
              <w:divsChild>
                <w:div w:id="1110708929">
                  <w:marLeft w:val="0"/>
                  <w:marRight w:val="0"/>
                  <w:marTop w:val="0"/>
                  <w:marBottom w:val="0"/>
                  <w:divBdr>
                    <w:top w:val="none" w:sz="0" w:space="0" w:color="auto"/>
                    <w:left w:val="none" w:sz="0" w:space="0" w:color="auto"/>
                    <w:bottom w:val="none" w:sz="0" w:space="0" w:color="auto"/>
                    <w:right w:val="none" w:sz="0" w:space="0" w:color="auto"/>
                  </w:divBdr>
                  <w:divsChild>
                    <w:div w:id="101754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16641">
      <w:bodyDiv w:val="1"/>
      <w:marLeft w:val="0"/>
      <w:marRight w:val="0"/>
      <w:marTop w:val="0"/>
      <w:marBottom w:val="0"/>
      <w:divBdr>
        <w:top w:val="none" w:sz="0" w:space="0" w:color="auto"/>
        <w:left w:val="none" w:sz="0" w:space="0" w:color="auto"/>
        <w:bottom w:val="none" w:sz="0" w:space="0" w:color="auto"/>
        <w:right w:val="none" w:sz="0" w:space="0" w:color="auto"/>
      </w:divBdr>
    </w:div>
    <w:div w:id="1035545474">
      <w:bodyDiv w:val="1"/>
      <w:marLeft w:val="0"/>
      <w:marRight w:val="0"/>
      <w:marTop w:val="0"/>
      <w:marBottom w:val="0"/>
      <w:divBdr>
        <w:top w:val="none" w:sz="0" w:space="0" w:color="auto"/>
        <w:left w:val="none" w:sz="0" w:space="0" w:color="auto"/>
        <w:bottom w:val="none" w:sz="0" w:space="0" w:color="auto"/>
        <w:right w:val="none" w:sz="0" w:space="0" w:color="auto"/>
      </w:divBdr>
      <w:divsChild>
        <w:div w:id="1780300459">
          <w:marLeft w:val="0"/>
          <w:marRight w:val="0"/>
          <w:marTop w:val="0"/>
          <w:marBottom w:val="0"/>
          <w:divBdr>
            <w:top w:val="none" w:sz="0" w:space="0" w:color="auto"/>
            <w:left w:val="none" w:sz="0" w:space="0" w:color="auto"/>
            <w:bottom w:val="none" w:sz="0" w:space="0" w:color="auto"/>
            <w:right w:val="none" w:sz="0" w:space="0" w:color="auto"/>
          </w:divBdr>
          <w:divsChild>
            <w:div w:id="1424841860">
              <w:marLeft w:val="0"/>
              <w:marRight w:val="0"/>
              <w:marTop w:val="0"/>
              <w:marBottom w:val="0"/>
              <w:divBdr>
                <w:top w:val="none" w:sz="0" w:space="0" w:color="auto"/>
                <w:left w:val="none" w:sz="0" w:space="0" w:color="auto"/>
                <w:bottom w:val="none" w:sz="0" w:space="0" w:color="auto"/>
                <w:right w:val="none" w:sz="0" w:space="0" w:color="auto"/>
              </w:divBdr>
              <w:divsChild>
                <w:div w:id="1494419645">
                  <w:marLeft w:val="0"/>
                  <w:marRight w:val="0"/>
                  <w:marTop w:val="0"/>
                  <w:marBottom w:val="0"/>
                  <w:divBdr>
                    <w:top w:val="none" w:sz="0" w:space="0" w:color="auto"/>
                    <w:left w:val="none" w:sz="0" w:space="0" w:color="auto"/>
                    <w:bottom w:val="none" w:sz="0" w:space="0" w:color="auto"/>
                    <w:right w:val="none" w:sz="0" w:space="0" w:color="auto"/>
                  </w:divBdr>
                  <w:divsChild>
                    <w:div w:id="1611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997493">
      <w:bodyDiv w:val="1"/>
      <w:marLeft w:val="0"/>
      <w:marRight w:val="0"/>
      <w:marTop w:val="0"/>
      <w:marBottom w:val="0"/>
      <w:divBdr>
        <w:top w:val="none" w:sz="0" w:space="0" w:color="auto"/>
        <w:left w:val="none" w:sz="0" w:space="0" w:color="auto"/>
        <w:bottom w:val="none" w:sz="0" w:space="0" w:color="auto"/>
        <w:right w:val="none" w:sz="0" w:space="0" w:color="auto"/>
      </w:divBdr>
      <w:divsChild>
        <w:div w:id="1854949576">
          <w:marLeft w:val="0"/>
          <w:marRight w:val="0"/>
          <w:marTop w:val="0"/>
          <w:marBottom w:val="0"/>
          <w:divBdr>
            <w:top w:val="none" w:sz="0" w:space="0" w:color="auto"/>
            <w:left w:val="none" w:sz="0" w:space="0" w:color="auto"/>
            <w:bottom w:val="none" w:sz="0" w:space="0" w:color="auto"/>
            <w:right w:val="none" w:sz="0" w:space="0" w:color="auto"/>
          </w:divBdr>
          <w:divsChild>
            <w:div w:id="311909115">
              <w:marLeft w:val="0"/>
              <w:marRight w:val="0"/>
              <w:marTop w:val="0"/>
              <w:marBottom w:val="0"/>
              <w:divBdr>
                <w:top w:val="none" w:sz="0" w:space="0" w:color="auto"/>
                <w:left w:val="none" w:sz="0" w:space="0" w:color="auto"/>
                <w:bottom w:val="none" w:sz="0" w:space="0" w:color="auto"/>
                <w:right w:val="none" w:sz="0" w:space="0" w:color="auto"/>
              </w:divBdr>
              <w:divsChild>
                <w:div w:id="1723826085">
                  <w:marLeft w:val="0"/>
                  <w:marRight w:val="0"/>
                  <w:marTop w:val="0"/>
                  <w:marBottom w:val="0"/>
                  <w:divBdr>
                    <w:top w:val="none" w:sz="0" w:space="0" w:color="auto"/>
                    <w:left w:val="none" w:sz="0" w:space="0" w:color="auto"/>
                    <w:bottom w:val="none" w:sz="0" w:space="0" w:color="auto"/>
                    <w:right w:val="none" w:sz="0" w:space="0" w:color="auto"/>
                  </w:divBdr>
                  <w:divsChild>
                    <w:div w:id="1758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9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em.com/catalog/product_blog/140/1/potassium_graphite_kc8-an_excellent_reducing_agen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1021/acs.organomet.2c0059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5</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johnson</dc:creator>
  <cp:keywords/>
  <dc:description/>
  <cp:lastModifiedBy>adam johnson</cp:lastModifiedBy>
  <cp:revision>91</cp:revision>
  <dcterms:created xsi:type="dcterms:W3CDTF">2023-08-08T22:17:00Z</dcterms:created>
  <dcterms:modified xsi:type="dcterms:W3CDTF">2024-01-30T22:27:00Z</dcterms:modified>
</cp:coreProperties>
</file>