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55F" w:rsidRDefault="00CD0B95" w:rsidP="00BA52EE">
      <w:pPr>
        <w:jc w:val="center"/>
        <w:rPr>
          <w:b/>
          <w:sz w:val="24"/>
        </w:rPr>
      </w:pPr>
      <w:r>
        <w:rPr>
          <w:b/>
          <w:sz w:val="24"/>
        </w:rPr>
        <w:t>Understanding H</w:t>
      </w:r>
      <w:r w:rsidR="00BA52EE" w:rsidRPr="00BA52EE">
        <w:rPr>
          <w:b/>
          <w:sz w:val="24"/>
        </w:rPr>
        <w:t>ypervalency</w:t>
      </w:r>
    </w:p>
    <w:p w:rsidR="00BA52EE" w:rsidRPr="001D6072" w:rsidRDefault="00BB3B07" w:rsidP="00C15D05">
      <w:pPr>
        <w:spacing w:after="120"/>
        <w:ind w:firstLine="216"/>
        <w:jc w:val="both"/>
      </w:pPr>
      <w:r>
        <w:rPr>
          <w:noProof/>
        </w:rPr>
        <mc:AlternateContent>
          <mc:Choice Requires="wps">
            <w:drawing>
              <wp:anchor distT="0" distB="0" distL="114300" distR="114300" simplePos="0" relativeHeight="251659264" behindDoc="0" locked="0" layoutInCell="1" allowOverlap="1" wp14:anchorId="66DEE036" wp14:editId="0F4C74FA">
                <wp:simplePos x="0" y="0"/>
                <wp:positionH relativeFrom="column">
                  <wp:posOffset>3257550</wp:posOffset>
                </wp:positionH>
                <wp:positionV relativeFrom="paragraph">
                  <wp:posOffset>933450</wp:posOffset>
                </wp:positionV>
                <wp:extent cx="3219450" cy="4800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19450" cy="480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7856" w:rsidRDefault="00221495" w:rsidP="001B7856">
                            <w:pPr>
                              <w:spacing w:after="120" w:line="240" w:lineRule="auto"/>
                              <w:jc w:val="center"/>
                            </w:pPr>
                            <w:r>
                              <w:rPr>
                                <w:noProof/>
                              </w:rPr>
                              <w:drawing>
                                <wp:inline distT="0" distB="0" distL="0" distR="0" wp14:anchorId="5EE71213" wp14:editId="61AD4A60">
                                  <wp:extent cx="2429800" cy="3364927"/>
                                  <wp:effectExtent l="0" t="0" r="889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d MO.png"/>
                                          <pic:cNvPicPr/>
                                        </pic:nvPicPr>
                                        <pic:blipFill rotWithShape="1">
                                          <a:blip r:embed="rId7">
                                            <a:extLst>
                                              <a:ext uri="{28A0092B-C50C-407E-A947-70E740481C1C}">
                                                <a14:useLocalDpi xmlns:a14="http://schemas.microsoft.com/office/drawing/2010/main" val="0"/>
                                              </a:ext>
                                            </a:extLst>
                                          </a:blip>
                                          <a:srcRect l="3863" t="6086" r="1960" b="1680"/>
                                          <a:stretch/>
                                        </pic:blipFill>
                                        <pic:spPr bwMode="auto">
                                          <a:xfrm>
                                            <a:off x="0" y="0"/>
                                            <a:ext cx="2440059" cy="3379134"/>
                                          </a:xfrm>
                                          <a:prstGeom prst="rect">
                                            <a:avLst/>
                                          </a:prstGeom>
                                          <a:ln>
                                            <a:noFill/>
                                          </a:ln>
                                          <a:extLst>
                                            <a:ext uri="{53640926-AAD7-44D8-BBD7-CCE9431645EC}">
                                              <a14:shadowObscured xmlns:a14="http://schemas.microsoft.com/office/drawing/2010/main"/>
                                            </a:ext>
                                          </a:extLst>
                                        </pic:spPr>
                                      </pic:pic>
                                    </a:graphicData>
                                  </a:graphic>
                                </wp:inline>
                              </w:drawing>
                            </w:r>
                          </w:p>
                          <w:p w:rsidR="001B7856" w:rsidRDefault="001B7856" w:rsidP="00EA68CC">
                            <w:pPr>
                              <w:spacing w:after="0" w:line="240" w:lineRule="auto"/>
                              <w:jc w:val="both"/>
                            </w:pPr>
                            <w:r w:rsidRPr="001B7856">
                              <w:rPr>
                                <w:b/>
                                <w:i/>
                              </w:rPr>
                              <w:t xml:space="preserve">Figure 1. </w:t>
                            </w:r>
                            <w:r>
                              <w:t xml:space="preserve">Orbital diagrams </w:t>
                            </w:r>
                            <w:r w:rsidR="003046DB">
                              <w:t>of</w:t>
                            </w:r>
                            <w:r>
                              <w:t xml:space="preserve"> </w:t>
                            </w:r>
                            <w:r w:rsidR="003046DB">
                              <w:t xml:space="preserve">the predicted </w:t>
                            </w:r>
                            <w:r>
                              <w:t>energy scheme</w:t>
                            </w:r>
                            <w:r w:rsidR="003046DB">
                              <w:t>s</w:t>
                            </w:r>
                            <w:r>
                              <w:t xml:space="preserve"> </w:t>
                            </w:r>
                            <w:r w:rsidR="00BB3B07">
                              <w:t>using</w:t>
                            </w:r>
                            <w:r>
                              <w:t xml:space="preserve"> </w:t>
                            </w:r>
                            <w:r w:rsidR="00BB3B07">
                              <w:t>valence bond</w:t>
                            </w:r>
                            <w:r>
                              <w:t xml:space="preserve"> theory (a) and molecular orbital</w:t>
                            </w:r>
                            <w:r w:rsidR="00BB3B07">
                              <w:t xml:space="preserve"> theory</w:t>
                            </w:r>
                            <w:r w:rsidR="003046DB">
                              <w:t xml:space="preserve"> </w:t>
                            </w:r>
                            <w: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EE036" id="_x0000_t202" coordsize="21600,21600" o:spt="202" path="m,l,21600r21600,l21600,xe">
                <v:stroke joinstyle="miter"/>
                <v:path gradientshapeok="t" o:connecttype="rect"/>
              </v:shapetype>
              <v:shape id="Text Box 1" o:spid="_x0000_s1026" type="#_x0000_t202" style="position:absolute;left:0;text-align:left;margin-left:256.5pt;margin-top:73.5pt;width:253.5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" fillcolor="white [3201]" stroked="f" strokeweight=".5pt">
                <v:textbox inset="0,0,0,0">
                  <w:txbxContent>
                    <w:p w:rsidR="001B7856" w:rsidRDefault="00221495" w:rsidP="001B7856">
                      <w:pPr>
                        <w:spacing w:after="120" w:line="240" w:lineRule="auto"/>
                        <w:jc w:val="center"/>
                      </w:pPr>
                      <w:r>
                        <w:rPr>
                          <w:noProof/>
                        </w:rPr>
                        <w:drawing>
                          <wp:inline distT="0" distB="0" distL="0" distR="0" wp14:anchorId="5EE71213" wp14:editId="61AD4A60">
                            <wp:extent cx="2429800" cy="3364927"/>
                            <wp:effectExtent l="0" t="0" r="889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d MO.png"/>
                                    <pic:cNvPicPr/>
                                  </pic:nvPicPr>
                                  <pic:blipFill rotWithShape="1">
                                    <a:blip r:embed="rId7">
                                      <a:extLst>
                                        <a:ext uri="{28A0092B-C50C-407E-A947-70E740481C1C}">
                                          <a14:useLocalDpi xmlns:a14="http://schemas.microsoft.com/office/drawing/2010/main" val="0"/>
                                        </a:ext>
                                      </a:extLst>
                                    </a:blip>
                                    <a:srcRect l="3863" t="6086" r="1960" b="1680"/>
                                    <a:stretch/>
                                  </pic:blipFill>
                                  <pic:spPr bwMode="auto">
                                    <a:xfrm>
                                      <a:off x="0" y="0"/>
                                      <a:ext cx="2440059" cy="3379134"/>
                                    </a:xfrm>
                                    <a:prstGeom prst="rect">
                                      <a:avLst/>
                                    </a:prstGeom>
                                    <a:ln>
                                      <a:noFill/>
                                    </a:ln>
                                    <a:extLst>
                                      <a:ext uri="{53640926-AAD7-44D8-BBD7-CCE9431645EC}">
                                        <a14:shadowObscured xmlns:a14="http://schemas.microsoft.com/office/drawing/2010/main"/>
                                      </a:ext>
                                    </a:extLst>
                                  </pic:spPr>
                                </pic:pic>
                              </a:graphicData>
                            </a:graphic>
                          </wp:inline>
                        </w:drawing>
                      </w:r>
                    </w:p>
                    <w:p w:rsidR="001B7856" w:rsidRDefault="001B7856" w:rsidP="00EA68CC">
                      <w:pPr>
                        <w:spacing w:after="0" w:line="240" w:lineRule="auto"/>
                        <w:jc w:val="both"/>
                      </w:pPr>
                      <w:r w:rsidRPr="001B7856">
                        <w:rPr>
                          <w:b/>
                          <w:i/>
                        </w:rPr>
                        <w:t xml:space="preserve">Figure 1. </w:t>
                      </w:r>
                      <w:r>
                        <w:t xml:space="preserve">Orbital diagrams </w:t>
                      </w:r>
                      <w:r w:rsidR="003046DB">
                        <w:t>of</w:t>
                      </w:r>
                      <w:r>
                        <w:t xml:space="preserve"> </w:t>
                      </w:r>
                      <w:r w:rsidR="003046DB">
                        <w:t xml:space="preserve">the predicted </w:t>
                      </w:r>
                      <w:r>
                        <w:t>energy scheme</w:t>
                      </w:r>
                      <w:r w:rsidR="003046DB">
                        <w:t>s</w:t>
                      </w:r>
                      <w:r>
                        <w:t xml:space="preserve"> </w:t>
                      </w:r>
                      <w:r w:rsidR="00BB3B07">
                        <w:t>using</w:t>
                      </w:r>
                      <w:r>
                        <w:t xml:space="preserve"> </w:t>
                      </w:r>
                      <w:r w:rsidR="00BB3B07">
                        <w:t>valence bond</w:t>
                      </w:r>
                      <w:r>
                        <w:t xml:space="preserve"> theory (a) and molecular orbital</w:t>
                      </w:r>
                      <w:r w:rsidR="00BB3B07">
                        <w:t xml:space="preserve"> theory</w:t>
                      </w:r>
                      <w:r w:rsidR="003046DB">
                        <w:t xml:space="preserve"> </w:t>
                      </w:r>
                      <w:r>
                        <w:t>(b).</w:t>
                      </w:r>
                    </w:p>
                  </w:txbxContent>
                </v:textbox>
                <w10:wrap type="square"/>
              </v:shape>
            </w:pict>
          </mc:Fallback>
        </mc:AlternateContent>
      </w:r>
      <w:r w:rsidR="001D6072">
        <w:t xml:space="preserve">In the world of quantum chemistry, there are two prevailing theories that explain chemical bonding:  valence bond (VB) theory and molecular orbital (MO) theory.  By this point in time, you have had exposure to both.  The concepts of equivalent hybrid orbitals and resonance structures are part of VB theory, and VB orbitals generally only sit between two atoms.  MO theory, on the other hand, uses orbitals that are </w:t>
      </w:r>
      <w:r w:rsidR="001D6072" w:rsidRPr="001D6072">
        <w:rPr>
          <w:i/>
        </w:rPr>
        <w:t>delocalized</w:t>
      </w:r>
      <w:r w:rsidR="001D6072">
        <w:t xml:space="preserve">; that is, they can span multiple atoms, or even the entire molecule.  The interesting thing about these two theories is that they are both equally valid, and </w:t>
      </w:r>
      <w:r w:rsidR="001D6072" w:rsidRPr="001D6072">
        <w:rPr>
          <w:b/>
        </w:rPr>
        <w:t>make the exact same predictions</w:t>
      </w:r>
      <w:r w:rsidR="001D6072">
        <w:t>.  Which one you use depends on the situation.</w:t>
      </w:r>
    </w:p>
    <w:p w:rsidR="009033B9" w:rsidRDefault="008B712C" w:rsidP="00C15D05">
      <w:pPr>
        <w:spacing w:after="120"/>
        <w:ind w:firstLine="216"/>
        <w:jc w:val="both"/>
      </w:pPr>
      <w:r>
        <w:rPr>
          <w:noProof/>
        </w:rPr>
        <mc:AlternateContent>
          <mc:Choice Requires="wps">
            <w:drawing>
              <wp:anchor distT="0" distB="0" distL="114300" distR="114300" simplePos="0" relativeHeight="251660288" behindDoc="0" locked="0" layoutInCell="1" allowOverlap="1" wp14:anchorId="05B3D677" wp14:editId="5F373446">
                <wp:simplePos x="0" y="0"/>
                <wp:positionH relativeFrom="column">
                  <wp:posOffset>3256280</wp:posOffset>
                </wp:positionH>
                <wp:positionV relativeFrom="paragraph">
                  <wp:posOffset>3138805</wp:posOffset>
                </wp:positionV>
                <wp:extent cx="3219450" cy="32346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3219450" cy="3234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46DB" w:rsidRDefault="00EA68CC" w:rsidP="00EA3EA8">
                            <w:pPr>
                              <w:spacing w:after="120" w:line="240" w:lineRule="auto"/>
                              <w:jc w:val="both"/>
                            </w:pPr>
                            <w:r w:rsidRPr="00EA68CC">
                              <w:rPr>
                                <w:b/>
                                <w:i/>
                              </w:rPr>
                              <w:t>Scheme 1.</w:t>
                            </w:r>
                            <w:r>
                              <w:t xml:space="preserve">  Resonance structures of PF</w:t>
                            </w:r>
                            <w:r>
                              <w:rPr>
                                <w:vertAlign w:val="subscript"/>
                              </w:rPr>
                              <w:t>5</w:t>
                            </w:r>
                            <w:r>
                              <w:t xml:space="preserve"> showing partial ionic character that avoids expanded octet.</w:t>
                            </w:r>
                            <w:r w:rsidR="00EA3EA8">
                              <w:t xml:space="preserve"> From</w:t>
                            </w:r>
                            <w:r>
                              <w:t xml:space="preserve"> </w:t>
                            </w:r>
                            <w:r w:rsidR="00EA3EA8">
                              <w:t>r</w:t>
                            </w:r>
                            <w:r>
                              <w:t>ef [</w:t>
                            </w:r>
                            <w:hyperlink w:anchor="_ENREF_1" w:tooltip="Mitchell, 2007 #643" w:history="1">
                              <w:r w:rsidR="00032BD8" w:rsidRPr="003D0C88">
                                <w:fldChar w:fldCharType="begin"/>
                              </w:r>
                              <w:r w:rsidR="00032BD8" w:rsidRPr="003D0C88">
                                <w:instrText xml:space="preserve"> ADDIN EN.CITE &lt;EndNote&gt;&lt;Cite&gt;&lt;Author&gt;Mitchell&lt;/Author&gt;&lt;Year&gt;2007&lt;/Year&gt;&lt;RecNum&gt;643&lt;/RecNum&gt;&lt;DisplayText&gt;&lt;style face="superscript"&gt;1&lt;/style&gt;&lt;/DisplayText&gt;&lt;record&gt;&lt;rec-number&gt;643&lt;/rec-number&gt;&lt;foreign-keys&gt;&lt;key app="EN" db-id="s55sd2zapxwzdmepswz5x9etpawwapspzaep"&gt;643&lt;/key&gt;&lt;/foreign-keys&gt;&lt;ref-type name="Journal Article"&gt;17&lt;/ref-type&gt;&lt;contributors&gt;&lt;authors&gt;&lt;author&gt;Mitchell, Tracy A.&lt;/author&gt;&lt;author&gt;Finocchio, Debbie&lt;/author&gt;&lt;author&gt;Kua, Jeremy&lt;/author&gt;&lt;/authors&gt;&lt;/contributors&gt;&lt;titles&gt;&lt;title&gt;Predicting the Stability of Hypervalent Molecules&lt;/title&gt;&lt;secondary-title&gt;Journal of Chemical Education&lt;/secondary-title&gt;&lt;/titles&gt;&lt;periodical&gt;&lt;full-title&gt;Journal of Chemical Education&lt;/full-title&gt;&lt;abbr-1&gt;J. Chem. Educ.&lt;/abbr-1&gt;&lt;abbr-2&gt;J Chem Educ&lt;/abbr-2&gt;&lt;/periodical&gt;&lt;pages&gt;629&lt;/pages&gt;&lt;volume&gt;84&lt;/volume&gt;&lt;number&gt;4&lt;/number&gt;&lt;dates&gt;&lt;year&gt;2007&lt;/year&gt;&lt;pub-dates&gt;&lt;date&gt;2007/04/01&lt;/date&gt;&lt;/pub-dates&gt;&lt;/dates&gt;&lt;publisher&gt;American Chemical Society&lt;/publisher&gt;&lt;isbn&gt;0021-9584&lt;/isbn&gt;&lt;urls&gt;&lt;related-urls&gt;&lt;url&gt;http://dx.doi.org/10.1021/ed084p629&lt;/url&gt;&lt;/related-urls&gt;&lt;/urls&gt;&lt;electronic-resource-num&gt;10.1021/ed084p629&lt;/electronic-resource-num&gt;&lt;access-date&gt;2012/08/22&lt;/access-date&gt;&lt;/record&gt;&lt;/Cite&gt;&lt;/EndNote&gt;</w:instrText>
                              </w:r>
                              <w:r w:rsidR="00032BD8" w:rsidRPr="003D0C88">
                                <w:fldChar w:fldCharType="separate"/>
                              </w:r>
                              <w:r w:rsidR="00032BD8" w:rsidRPr="003D0C88">
                                <w:rPr>
                                  <w:noProof/>
                                </w:rPr>
                                <w:t>1</w:t>
                              </w:r>
                              <w:r w:rsidR="00032BD8" w:rsidRPr="003D0C88">
                                <w:fldChar w:fldCharType="end"/>
                              </w:r>
                            </w:hyperlink>
                            <w:r>
                              <w:t>]</w:t>
                            </w:r>
                          </w:p>
                          <w:p w:rsidR="00EA68CC" w:rsidRPr="00EA68CC" w:rsidRDefault="00EA68CC" w:rsidP="00DB6AE0">
                            <w:pPr>
                              <w:jc w:val="center"/>
                            </w:pPr>
                            <w:r>
                              <w:rPr>
                                <w:noProof/>
                              </w:rPr>
                              <w:drawing>
                                <wp:inline distT="0" distB="0" distL="0" distR="0" wp14:anchorId="20E7CA27" wp14:editId="7742FEE0">
                                  <wp:extent cx="3030817" cy="266556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5-res.png"/>
                                          <pic:cNvPicPr/>
                                        </pic:nvPicPr>
                                        <pic:blipFill rotWithShape="1">
                                          <a:blip r:embed="rId8">
                                            <a:extLst>
                                              <a:ext uri="{28A0092B-C50C-407E-A947-70E740481C1C}">
                                                <a14:useLocalDpi xmlns:a14="http://schemas.microsoft.com/office/drawing/2010/main" val="0"/>
                                              </a:ext>
                                            </a:extLst>
                                          </a:blip>
                                          <a:srcRect l="14210" r="11316"/>
                                          <a:stretch/>
                                        </pic:blipFill>
                                        <pic:spPr bwMode="auto">
                                          <a:xfrm>
                                            <a:off x="0" y="0"/>
                                            <a:ext cx="3031926" cy="266653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D677" id="Text Box 5" o:spid="_x0000_s1027" type="#_x0000_t202" style="position:absolute;left:0;text-align:left;margin-left:256.4pt;margin-top:247.15pt;width:253.5pt;height:2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" fillcolor="white [3201]" stroked="f" strokeweight=".5pt">
                <v:textbox inset="0,0,0,0">
                  <w:txbxContent>
                    <w:p w:rsidR="003046DB" w:rsidRDefault="00EA68CC" w:rsidP="00EA3EA8">
                      <w:pPr>
                        <w:spacing w:after="120" w:line="240" w:lineRule="auto"/>
                        <w:jc w:val="both"/>
                      </w:pPr>
                      <w:r w:rsidRPr="00EA68CC">
                        <w:rPr>
                          <w:b/>
                          <w:i/>
                        </w:rPr>
                        <w:t>Scheme 1.</w:t>
                      </w:r>
                      <w:r>
                        <w:t xml:space="preserve">  Resonance structures of PF</w:t>
                      </w:r>
                      <w:r>
                        <w:rPr>
                          <w:vertAlign w:val="subscript"/>
                        </w:rPr>
                        <w:t>5</w:t>
                      </w:r>
                      <w:r>
                        <w:t xml:space="preserve"> showing partial ionic character that avoids expanded octet.</w:t>
                      </w:r>
                      <w:r w:rsidR="00EA3EA8">
                        <w:t xml:space="preserve"> From</w:t>
                      </w:r>
                      <w:r>
                        <w:t xml:space="preserve"> </w:t>
                      </w:r>
                      <w:r w:rsidR="00EA3EA8">
                        <w:t>r</w:t>
                      </w:r>
                      <w:r>
                        <w:t>ef [</w:t>
                      </w:r>
                      <w:hyperlink w:anchor="_ENREF_1" w:tooltip="Mitchell, 2007 #643" w:history="1">
                        <w:r w:rsidR="00032BD8" w:rsidRPr="003D0C88">
                          <w:fldChar w:fldCharType="begin"/>
                        </w:r>
                        <w:r w:rsidR="00032BD8" w:rsidRPr="003D0C88">
                          <w:instrText xml:space="preserve"> ADDIN EN.CITE &lt;EndNote&gt;&lt;Cite&gt;&lt;Author&gt;Mitchell&lt;/Author&gt;&lt;Year&gt;2007&lt;/Year&gt;&lt;RecNum&gt;643&lt;/RecNum&gt;&lt;DisplayText&gt;&lt;style face="superscript"&gt;1&lt;/style&gt;&lt;/DisplayText&gt;&lt;record&gt;&lt;rec-number&gt;643&lt;/rec-number&gt;&lt;foreign-keys&gt;&lt;key app="EN" db-id="s55sd2zapxwzdmepswz5x9etpawwapspzaep"&gt;643&lt;/key&gt;&lt;/foreign-keys&gt;&lt;ref-type name="Journal Article"&gt;17&lt;/ref-type&gt;&lt;contributors&gt;&lt;authors&gt;&lt;author&gt;Mitchell, Tracy A.&lt;/author&gt;&lt;author&gt;Finocchio, Debbie&lt;/author&gt;&lt;author&gt;Kua, Jeremy&lt;/author&gt;&lt;/authors&gt;&lt;/contributors&gt;&lt;titles&gt;&lt;title&gt;Predicting the Stability of Hypervalent Molecules&lt;/title&gt;&lt;secondary-title&gt;Journal of Chemical Education&lt;/secondary-title&gt;&lt;/titles&gt;&lt;periodical&gt;&lt;full-title&gt;Journal of Chemical Education&lt;/full-title&gt;&lt;abbr-1&gt;J. Chem. Educ.&lt;/abbr-1&gt;&lt;abbr-2&gt;J Chem Educ&lt;/abbr-2&gt;&lt;/periodical&gt;&lt;pages&gt;629&lt;/pages&gt;&lt;volume&gt;84&lt;/volume&gt;&lt;number&gt;4&lt;/number&gt;&lt;dates&gt;&lt;year&gt;2007&lt;/year&gt;&lt;pub-dates&gt;&lt;date&gt;2007/04/01&lt;/date&gt;&lt;/pub-dates&gt;&lt;/dates&gt;&lt;publisher&gt;American Chemical Society&lt;/publisher&gt;&lt;isbn&gt;0021-9584&lt;/isbn&gt;&lt;urls&gt;&lt;related-urls&gt;&lt;url&gt;http://dx.doi.org/10.1021/ed084p629&lt;/url&gt;&lt;/related-urls&gt;&lt;/urls&gt;&lt;electronic-resource-num&gt;10.1021/ed084p629&lt;/electronic-resource-num&gt;&lt;access-date&gt;2012/08/22&lt;/access-date&gt;&lt;/record&gt;&lt;/Cite&gt;&lt;/EndNote&gt;</w:instrText>
                        </w:r>
                        <w:r w:rsidR="00032BD8" w:rsidRPr="003D0C88">
                          <w:fldChar w:fldCharType="separate"/>
                        </w:r>
                        <w:r w:rsidR="00032BD8" w:rsidRPr="003D0C88">
                          <w:rPr>
                            <w:noProof/>
                          </w:rPr>
                          <w:t>1</w:t>
                        </w:r>
                        <w:r w:rsidR="00032BD8" w:rsidRPr="003D0C88">
                          <w:fldChar w:fldCharType="end"/>
                        </w:r>
                      </w:hyperlink>
                      <w:r>
                        <w:t>]</w:t>
                      </w:r>
                    </w:p>
                    <w:p w:rsidR="00EA68CC" w:rsidRPr="00EA68CC" w:rsidRDefault="00EA68CC" w:rsidP="00DB6AE0">
                      <w:pPr>
                        <w:jc w:val="center"/>
                      </w:pPr>
                      <w:r>
                        <w:rPr>
                          <w:noProof/>
                        </w:rPr>
                        <w:drawing>
                          <wp:inline distT="0" distB="0" distL="0" distR="0" wp14:anchorId="20E7CA27" wp14:editId="7742FEE0">
                            <wp:extent cx="3030817" cy="2665562"/>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5-res.png"/>
                                    <pic:cNvPicPr/>
                                  </pic:nvPicPr>
                                  <pic:blipFill rotWithShape="1">
                                    <a:blip r:embed="rId8">
                                      <a:extLst>
                                        <a:ext uri="{28A0092B-C50C-407E-A947-70E740481C1C}">
                                          <a14:useLocalDpi xmlns:a14="http://schemas.microsoft.com/office/drawing/2010/main" val="0"/>
                                        </a:ext>
                                      </a:extLst>
                                    </a:blip>
                                    <a:srcRect l="14210" r="11316"/>
                                    <a:stretch/>
                                  </pic:blipFill>
                                  <pic:spPr bwMode="auto">
                                    <a:xfrm>
                                      <a:off x="0" y="0"/>
                                      <a:ext cx="3031926" cy="266653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9033B9">
        <w:t>The utility of</w:t>
      </w:r>
      <w:r w:rsidR="001D6072">
        <w:t xml:space="preserve"> VB</w:t>
      </w:r>
      <w:r w:rsidR="009033B9">
        <w:t xml:space="preserve"> hybrid orbitals lies in their simplicity in explaining structural features such as the four equivalent C-H bonds of methane</w:t>
      </w:r>
      <w:r w:rsidR="001D6072">
        <w:t xml:space="preserve"> (as does MO theory in a more complex manner)</w:t>
      </w:r>
      <w:r w:rsidR="009033B9">
        <w:t xml:space="preserve">.  </w:t>
      </w:r>
      <w:r w:rsidR="001D6072">
        <w:t>However, when one looks at the electronic spectrum of methane, two major peaks are observed</w:t>
      </w:r>
      <w:r w:rsidR="001B7856">
        <w:t xml:space="preserve">.  Hybrid orbital theory and molecular orbital theory predict very different orbital energy levels </w:t>
      </w:r>
      <w:r w:rsidR="001D6072">
        <w:t xml:space="preserve">for methane </w:t>
      </w:r>
      <w:r w:rsidR="001B7856">
        <w:t xml:space="preserve">(Figure 1).  </w:t>
      </w:r>
      <w:r w:rsidR="001D6072">
        <w:t>Using MO theory, it is very easy to see why there would be two peaks; electrons jump from the HOMO to each of the two higher energy levels (Figure 1b).  With VB theory, it takes a lot of extra math to explain how there could be two peaks.</w:t>
      </w:r>
      <w:r w:rsidR="000E4383">
        <w:t xml:space="preserve">  So far in class, we have seen the ways that we can use group theory and molecular orbital theory to describe the bonding in a given molecule, but we haven’t given much time to talking about what orbitals are allowed to engage in bonding.</w:t>
      </w:r>
    </w:p>
    <w:p w:rsidR="000E4383" w:rsidRDefault="001D6072" w:rsidP="00C15D05">
      <w:pPr>
        <w:spacing w:after="120"/>
        <w:ind w:firstLine="216"/>
        <w:jc w:val="both"/>
      </w:pPr>
      <w:r>
        <w:t>One topic that still stirs up controversy in chemistry circles is the concept of expanded octet</w:t>
      </w:r>
      <w:r w:rsidR="008B712C">
        <w:t>, or hypervalency</w:t>
      </w:r>
      <w:r w:rsidR="000E4383">
        <w:t xml:space="preserve">.  </w:t>
      </w:r>
      <w:r w:rsidR="008B712C">
        <w:t>In Freshman chemistry, y</w:t>
      </w:r>
      <w:r w:rsidR="000E4383">
        <w:t xml:space="preserve">ou were told that </w:t>
      </w:r>
      <w:r w:rsidR="008B712C">
        <w:t xml:space="preserve">an atom must have accessible d-orbitals </w:t>
      </w:r>
      <w:r w:rsidR="000E4383">
        <w:t>in order to form more than four bonds; second row atoms lack</w:t>
      </w:r>
      <w:r w:rsidR="008B712C">
        <w:t xml:space="preserve"> those orbitals</w:t>
      </w:r>
      <w:r w:rsidR="000E4383">
        <w:t>.  In tru</w:t>
      </w:r>
      <w:r w:rsidR="00BB3B07">
        <w:t xml:space="preserve">th, third row elements are probably </w:t>
      </w:r>
      <w:r w:rsidR="000E4383">
        <w:t>unable to form bonds with their d-orbitals because the 3d set is much too high in energy to overlap well with other atoms’ orbitals.</w:t>
      </w:r>
      <w:r w:rsidR="00DD3FEB">
        <w:t xml:space="preserve">  How do we reconcile this fact with the concept that you need one atomic orbital per molecular bond?</w:t>
      </w:r>
    </w:p>
    <w:p w:rsidR="006C1D05" w:rsidRDefault="003046DB" w:rsidP="00C15D05">
      <w:pPr>
        <w:ind w:firstLine="216"/>
        <w:jc w:val="both"/>
      </w:pPr>
      <w:r>
        <w:t xml:space="preserve">There are several ways to describe the bonding in hypervalent molecules.  The first is to invoke partial </w:t>
      </w:r>
      <w:r>
        <w:lastRenderedPageBreak/>
        <w:t>ionic character to the bonding.  This approach has been used successfully to describe the bonding in PF</w:t>
      </w:r>
      <w:r>
        <w:rPr>
          <w:vertAlign w:val="subscript"/>
        </w:rPr>
        <w:t xml:space="preserve">5 </w:t>
      </w:r>
      <w:r w:rsidRPr="003046DB">
        <w:t>(</w:t>
      </w:r>
      <w:r>
        <w:t>Scheme 1</w:t>
      </w:r>
      <w:r w:rsidRPr="003046DB">
        <w:t>)</w:t>
      </w:r>
      <w:r>
        <w:t>.</w:t>
      </w:r>
      <w:hyperlink w:anchor="_ENREF_1" w:tooltip="Mitchell, 2007 #643" w:history="1">
        <w:r w:rsidR="00032BD8">
          <w:fldChar w:fldCharType="begin"/>
        </w:r>
        <w:r w:rsidR="00032BD8">
          <w:instrText xml:space="preserve"> ADDIN EN.CITE &lt;EndNote&gt;&lt;Cite&gt;&lt;Author&gt;Mitchell&lt;/Author&gt;&lt;Year&gt;2007&lt;/Year&gt;&lt;RecNum&gt;643&lt;/RecNum&gt;&lt;DisplayText&gt;&lt;style face="superscript"&gt;1&lt;/style&gt;&lt;/DisplayText&gt;&lt;record&gt;&lt;rec-number&gt;643&lt;/rec-number&gt;&lt;foreign-keys&gt;&lt;key app="EN" db-id="s55sd2zapxwzdmepswz5x9etpawwapspzaep"&gt;643&lt;/key&gt;&lt;/foreign-keys&gt;&lt;ref-type name="Journal Article"&gt;17&lt;/ref-type&gt;&lt;contributors&gt;&lt;authors&gt;&lt;author&gt;Mitchell, Tracy A.&lt;/author&gt;&lt;author&gt;Finocchio, Debbie&lt;/author&gt;&lt;author&gt;Kua, Jeremy&lt;/author&gt;&lt;/authors&gt;&lt;/contributors&gt;&lt;titles&gt;&lt;title&gt;Predicting the Stability of Hypervalent Molecules&lt;/title&gt;&lt;secondary-title&gt;Journal of Chemical Education&lt;/secondary-title&gt;&lt;/titles&gt;&lt;periodical&gt;&lt;full-title&gt;Journal of Chemical Education&lt;/full-title&gt;&lt;abbr-1&gt;J. Chem. Educ.&lt;/abbr-1&gt;&lt;abbr-2&gt;J Chem Educ&lt;/abbr-2&gt;&lt;/periodical&gt;&lt;pages&gt;629&lt;/pages&gt;&lt;volume&gt;84&lt;/volume&gt;&lt;number&gt;4&lt;/number&gt;&lt;dates&gt;&lt;year&gt;2007&lt;/year&gt;&lt;pub-dates&gt;&lt;date&gt;2007/04/01&lt;/date&gt;&lt;/pub-dates&gt;&lt;/dates&gt;&lt;publisher&gt;American Chemical Society&lt;/publisher&gt;&lt;isbn&gt;0021-9584&lt;/isbn&gt;&lt;urls&gt;&lt;related-urls&gt;&lt;url&gt;http://dx.doi.org/10.1021/ed084p629&lt;/url&gt;&lt;/related-urls&gt;&lt;/urls&gt;&lt;electronic-resource-num&gt;10.1021/ed084p629&lt;/electronic-resource-num&gt;&lt;access-date&gt;2012/08/22&lt;/access-date&gt;&lt;/record&gt;&lt;/Cite&gt;&lt;/EndNote&gt;</w:instrText>
        </w:r>
        <w:r w:rsidR="00032BD8">
          <w:fldChar w:fldCharType="separate"/>
        </w:r>
        <w:r w:rsidR="00032BD8" w:rsidRPr="003046DB">
          <w:rPr>
            <w:noProof/>
            <w:vertAlign w:val="superscript"/>
          </w:rPr>
          <w:t>1</w:t>
        </w:r>
        <w:r w:rsidR="00032BD8">
          <w:fldChar w:fldCharType="end"/>
        </w:r>
      </w:hyperlink>
      <w:r>
        <w:t xml:space="preserve">  </w:t>
      </w:r>
      <w:r w:rsidR="00DD74FE">
        <w:t xml:space="preserve">However, resonance structures are </w:t>
      </w:r>
      <w:r w:rsidR="008B712C">
        <w:t>a VB theory</w:t>
      </w:r>
      <w:r w:rsidR="00DD74FE">
        <w:t xml:space="preserve"> </w:t>
      </w:r>
      <w:r w:rsidR="008B712C">
        <w:t>method</w:t>
      </w:r>
      <w:r w:rsidR="00DD74FE">
        <w:t xml:space="preserve"> to use </w:t>
      </w:r>
      <w:r w:rsidR="006C1D05">
        <w:t>localized Lewis structures</w:t>
      </w:r>
      <w:r w:rsidR="00DD74FE">
        <w:t xml:space="preserve"> to describe bonding, while molecular orbital theory </w:t>
      </w:r>
      <w:r w:rsidR="006C1D05">
        <w:t xml:space="preserve">can </w:t>
      </w:r>
      <w:r w:rsidR="004A569D">
        <w:t>describe</w:t>
      </w:r>
      <w:r w:rsidR="006C1D05">
        <w:t xml:space="preserve"> </w:t>
      </w:r>
      <w:r w:rsidR="008B712C">
        <w:t xml:space="preserve">the same </w:t>
      </w:r>
      <w:r w:rsidR="006C1D05">
        <w:t xml:space="preserve">bonding </w:t>
      </w:r>
      <w:r w:rsidR="008B712C">
        <w:t xml:space="preserve">scheme </w:t>
      </w:r>
      <w:r w:rsidR="004A569D">
        <w:t>with just one picture</w:t>
      </w:r>
      <w:r w:rsidR="006C1D05">
        <w:t>.</w:t>
      </w:r>
    </w:p>
    <w:p w:rsidR="00032BD8" w:rsidRPr="00555D64" w:rsidRDefault="006C1D05" w:rsidP="00C15D05">
      <w:pPr>
        <w:spacing w:after="120"/>
        <w:ind w:firstLine="216"/>
        <w:jc w:val="both"/>
      </w:pPr>
      <w:r>
        <w:t xml:space="preserve">In order to better describe </w:t>
      </w:r>
      <w:r w:rsidR="008B712C">
        <w:t xml:space="preserve">the bonding in </w:t>
      </w:r>
      <w:r>
        <w:t>hypervalen</w:t>
      </w:r>
      <w:r w:rsidR="008B712C">
        <w:t>t molecules</w:t>
      </w:r>
      <w:r>
        <w:t xml:space="preserve">, we will be using the concept of </w:t>
      </w:r>
      <w:r w:rsidR="00402F82">
        <w:t xml:space="preserve">multicenter bonding.  </w:t>
      </w:r>
      <w:r w:rsidR="004A569D">
        <w:t>T</w:t>
      </w:r>
      <w:r w:rsidR="00402F82">
        <w:t>he LGOs that you predict</w:t>
      </w:r>
      <w:r w:rsidR="004A569D">
        <w:t xml:space="preserve"> for a molecule</w:t>
      </w:r>
      <w:r w:rsidR="00402F82">
        <w:t xml:space="preserve"> using the generator orbital m</w:t>
      </w:r>
      <w:r w:rsidR="004A569D">
        <w:t>ethod (from the last activity)</w:t>
      </w:r>
      <w:r w:rsidR="00402F82">
        <w:t xml:space="preserve"> are just the</w:t>
      </w:r>
      <w:r w:rsidR="00032BD8">
        <w:t xml:space="preserve"> central atom’s</w:t>
      </w:r>
      <w:r w:rsidR="00402F82">
        <w:t xml:space="preserve"> orbitals that group theory says have the correct symmetry to overlap with </w:t>
      </w:r>
      <w:r w:rsidR="004A569D">
        <w:t xml:space="preserve">the orbital lobes on </w:t>
      </w:r>
      <w:r w:rsidR="00402F82">
        <w:t xml:space="preserve">the </w:t>
      </w:r>
      <w:r w:rsidR="00032BD8">
        <w:t xml:space="preserve">outer atoms.  That doesn’t necessarily mean that the central atom can actually use all of those orbitals.  </w:t>
      </w:r>
      <w:r w:rsidR="00555D64">
        <w:t>A good example of this situation is the square planar CH</w:t>
      </w:r>
      <w:r w:rsidR="00555D64">
        <w:rPr>
          <w:vertAlign w:val="subscript"/>
        </w:rPr>
        <w:t>4</w:t>
      </w:r>
      <w:r w:rsidR="00555D64">
        <w:t xml:space="preserve"> molecule you constructed LGOs for.  Obviously, the carbon doesn’t have a </w:t>
      </w:r>
      <m:oMath>
        <m:sSub>
          <m:sSubPr>
            <m:ctrlPr>
              <w:rPr>
                <w:rFonts w:ascii="Cambria Math" w:hAnsi="Cambria Math"/>
              </w:rPr>
            </m:ctrlPr>
          </m:sSubPr>
          <m:e>
            <m:r>
              <m:rPr>
                <m:sty m:val="p"/>
              </m:rPr>
              <w:rPr>
                <w:rFonts w:ascii="Cambria Math" w:hAnsi="Cambria Math"/>
              </w:rPr>
              <m:t>d</m:t>
            </m:r>
          </m:e>
          <m:sub>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sub>
        </m:sSub>
      </m:oMath>
      <w:r w:rsidR="00555D64">
        <w:rPr>
          <w:rFonts w:eastAsiaTheme="minorEastAsia"/>
        </w:rPr>
        <w:t xml:space="preserve"> orbital available for bonding</w:t>
      </w:r>
      <w:r w:rsidR="004A569D">
        <w:rPr>
          <w:rFonts w:eastAsiaTheme="minorEastAsia"/>
        </w:rPr>
        <w:t>.</w:t>
      </w:r>
    </w:p>
    <w:p w:rsidR="00C15D05" w:rsidRDefault="00032BD8" w:rsidP="00C15D05">
      <w:pPr>
        <w:spacing w:after="120"/>
        <w:ind w:firstLine="216"/>
        <w:jc w:val="both"/>
      </w:pPr>
      <w:r>
        <w:t>When an atom has fewer atomic orbitals available than the number of bonds drawn</w:t>
      </w:r>
      <w:r w:rsidR="004A569D">
        <w:t xml:space="preserve"> to it</w:t>
      </w:r>
      <w:r>
        <w:t xml:space="preserve"> in the Lewis structure, multicenter bonding is likely involved.  The example you saw in class was for the [FHF]</w:t>
      </w:r>
      <w:r>
        <w:rPr>
          <w:vertAlign w:val="superscript"/>
        </w:rPr>
        <w:t>-</w:t>
      </w:r>
      <w:r>
        <w:t xml:space="preserve"> anion.  The Lewis structure has two bonds, but hydrogen only has the 1s orbital available for bonding.  The result is a 3-center-4-electron bond (3c4e).  This bonding scheme is also present in the hypervalent molecule XeF</w:t>
      </w:r>
      <w:r>
        <w:rPr>
          <w:vertAlign w:val="subscript"/>
        </w:rPr>
        <w:t>2</w:t>
      </w:r>
      <w:r>
        <w:t>.</w:t>
      </w:r>
      <w:r w:rsidR="00C15D05">
        <w:t xml:space="preserve">  </w:t>
      </w:r>
    </w:p>
    <w:p w:rsidR="003046DB" w:rsidRPr="00C15D05" w:rsidRDefault="00D543F4" w:rsidP="00C15D05">
      <w:pPr>
        <w:spacing w:after="120"/>
        <w:ind w:firstLine="216"/>
        <w:jc w:val="both"/>
      </w:pPr>
      <w:r>
        <w:rPr>
          <w:noProof/>
        </w:rPr>
        <mc:AlternateContent>
          <mc:Choice Requires="wps">
            <w:drawing>
              <wp:anchor distT="0" distB="0" distL="114300" distR="114300" simplePos="0" relativeHeight="251672576" behindDoc="0" locked="0" layoutInCell="1" allowOverlap="1" wp14:anchorId="3E1F66B2" wp14:editId="55B3982C">
                <wp:simplePos x="0" y="0"/>
                <wp:positionH relativeFrom="column">
                  <wp:posOffset>3722370</wp:posOffset>
                </wp:positionH>
                <wp:positionV relativeFrom="paragraph">
                  <wp:posOffset>62865</wp:posOffset>
                </wp:positionV>
                <wp:extent cx="2703830" cy="1152525"/>
                <wp:effectExtent l="0" t="0" r="1270" b="9525"/>
                <wp:wrapSquare wrapText="bothSides"/>
                <wp:docPr id="8" name="Text Box 8"/>
                <wp:cNvGraphicFramePr/>
                <a:graphic xmlns:a="http://schemas.openxmlformats.org/drawingml/2006/main">
                  <a:graphicData uri="http://schemas.microsoft.com/office/word/2010/wordprocessingShape">
                    <wps:wsp>
                      <wps:cNvSpPr txBox="1"/>
                      <wps:spPr>
                        <a:xfrm>
                          <a:off x="0" y="0"/>
                          <a:ext cx="2703830"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43F4" w:rsidRDefault="00D543F4" w:rsidP="00D543F4">
                            <w:pPr>
                              <w:spacing w:after="180" w:line="240" w:lineRule="auto"/>
                              <w:jc w:val="both"/>
                            </w:pPr>
                            <w:r w:rsidRPr="007720AC">
                              <w:rPr>
                                <w:b/>
                                <w:i/>
                              </w:rPr>
                              <w:t>Scheme 2</w:t>
                            </w:r>
                            <w:r>
                              <w:t>.  Resonance description of the 3c4e bond.</w:t>
                            </w:r>
                          </w:p>
                          <w:p w:rsidR="00D543F4" w:rsidRDefault="00D543F4" w:rsidP="00D543F4">
                            <w:pPr>
                              <w:spacing w:after="0" w:line="240" w:lineRule="auto"/>
                              <w:jc w:val="center"/>
                            </w:pPr>
                            <w:r>
                              <w:rPr>
                                <w:noProof/>
                              </w:rPr>
                              <w:drawing>
                                <wp:inline distT="0" distB="0" distL="0" distR="0" wp14:anchorId="4C7753D1" wp14:editId="18D7467B">
                                  <wp:extent cx="2409824" cy="80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F2-lewis.png"/>
                                          <pic:cNvPicPr/>
                                        </pic:nvPicPr>
                                        <pic:blipFill rotWithShape="1">
                                          <a:blip r:embed="rId9">
                                            <a:extLst>
                                              <a:ext uri="{28A0092B-C50C-407E-A947-70E740481C1C}">
                                                <a14:useLocalDpi xmlns:a14="http://schemas.microsoft.com/office/drawing/2010/main" val="0"/>
                                              </a:ext>
                                            </a:extLst>
                                          </a:blip>
                                          <a:srcRect l="3065" b="53948"/>
                                          <a:stretch/>
                                        </pic:blipFill>
                                        <pic:spPr bwMode="auto">
                                          <a:xfrm>
                                            <a:off x="0" y="0"/>
                                            <a:ext cx="2411056" cy="81003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66B2" id="Text Box 8" o:spid="_x0000_s1028" type="#_x0000_t202" style="position:absolute;left:0;text-align:left;margin-left:293.1pt;margin-top:4.95pt;width:212.9pt;height:9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" fillcolor="white [3201]" stroked="f" strokeweight=".5pt">
                <v:textbox inset="14.4pt,0,0,0">
                  <w:txbxContent>
                    <w:p w:rsidR="00D543F4" w:rsidRDefault="00D543F4" w:rsidP="00D543F4">
                      <w:pPr>
                        <w:spacing w:after="180" w:line="240" w:lineRule="auto"/>
                        <w:jc w:val="both"/>
                      </w:pPr>
                      <w:r w:rsidRPr="007720AC">
                        <w:rPr>
                          <w:b/>
                          <w:i/>
                        </w:rPr>
                        <w:t>Scheme 2</w:t>
                      </w:r>
                      <w:r>
                        <w:t>.  Resonance description of the 3c4e bond.</w:t>
                      </w:r>
                    </w:p>
                    <w:p w:rsidR="00D543F4" w:rsidRDefault="00D543F4" w:rsidP="00D543F4">
                      <w:pPr>
                        <w:spacing w:after="0" w:line="240" w:lineRule="auto"/>
                        <w:jc w:val="center"/>
                      </w:pPr>
                      <w:r>
                        <w:rPr>
                          <w:noProof/>
                        </w:rPr>
                        <w:drawing>
                          <wp:inline distT="0" distB="0" distL="0" distR="0" wp14:anchorId="4C7753D1" wp14:editId="18D7467B">
                            <wp:extent cx="2409824" cy="809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F2-lewis.png"/>
                                    <pic:cNvPicPr/>
                                  </pic:nvPicPr>
                                  <pic:blipFill rotWithShape="1">
                                    <a:blip r:embed="rId9">
                                      <a:extLst>
                                        <a:ext uri="{28A0092B-C50C-407E-A947-70E740481C1C}">
                                          <a14:useLocalDpi xmlns:a14="http://schemas.microsoft.com/office/drawing/2010/main" val="0"/>
                                        </a:ext>
                                      </a:extLst>
                                    </a:blip>
                                    <a:srcRect l="3065" b="53948"/>
                                    <a:stretch/>
                                  </pic:blipFill>
                                  <pic:spPr bwMode="auto">
                                    <a:xfrm>
                                      <a:off x="0" y="0"/>
                                      <a:ext cx="2411056" cy="81003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1D3FB2">
        <w:t xml:space="preserve">In </w:t>
      </w:r>
      <w:r w:rsidR="00FC1128">
        <w:t>terms of Lewis Structures, the 3c4e bond can be understood as depicted in Scheme 2.  The actual distribution of electrons in XeF</w:t>
      </w:r>
      <w:r w:rsidR="00FC1128">
        <w:rPr>
          <w:vertAlign w:val="subscript"/>
        </w:rPr>
        <w:t>2</w:t>
      </w:r>
      <w:r w:rsidR="00FC1128">
        <w:t xml:space="preserve"> can be better understood as 2 electrons that are delocalized in a single bonding orbital between the xenon and two fluorine atoms, and another orbital in which the electrons belong exclusively to the fluorine atoms.  </w:t>
      </w:r>
      <w:r w:rsidR="00DD74FE">
        <w:t xml:space="preserve"> </w:t>
      </w:r>
      <w:r w:rsidR="007720AC">
        <w:t>What we need now is a way to combine these concepts with molecular orbital theory.  There is a relatively simple process to construct the multi-center bonding scheme, and much of it is identical to what you did in the LGO activity.</w:t>
      </w:r>
      <w:r w:rsidR="004D1775">
        <w:t xml:space="preserve">  </w:t>
      </w:r>
      <w:r w:rsidR="004D1775" w:rsidRPr="004D1775">
        <w:rPr>
          <w:b/>
        </w:rPr>
        <w:t xml:space="preserve">The main idea behind multi-center bonding is that you actually have </w:t>
      </w:r>
      <w:r w:rsidR="004D1775" w:rsidRPr="004D1775">
        <w:rPr>
          <w:b/>
          <w:i/>
        </w:rPr>
        <w:t>fewer</w:t>
      </w:r>
      <w:r w:rsidR="004D1775" w:rsidRPr="004D1775">
        <w:rPr>
          <w:b/>
        </w:rPr>
        <w:t xml:space="preserve"> bonding orbitals than expected based on the Lewis structure</w:t>
      </w:r>
      <w:r w:rsidR="000229E5">
        <w:rPr>
          <w:b/>
        </w:rPr>
        <w:t>, even though the number of electrons is the same</w:t>
      </w:r>
      <w:r w:rsidR="004D1775" w:rsidRPr="004D1775">
        <w:rPr>
          <w:b/>
        </w:rPr>
        <w:t>.</w:t>
      </w:r>
    </w:p>
    <w:p w:rsidR="003D0C88" w:rsidRPr="004D1775" w:rsidRDefault="004A569D" w:rsidP="00BA52EE">
      <w:pPr>
        <w:jc w:val="both"/>
      </w:pPr>
      <w:r>
        <w:rPr>
          <w:b/>
        </w:rPr>
        <w:t>Most of the p</w:t>
      </w:r>
      <w:r w:rsidR="003D0C88">
        <w:rPr>
          <w:b/>
        </w:rPr>
        <w:t>rocedure</w:t>
      </w:r>
      <w:r>
        <w:rPr>
          <w:b/>
        </w:rPr>
        <w:t xml:space="preserve"> is the same as the one you used to generate LGOs</w:t>
      </w:r>
      <w:r w:rsidR="00300ACB">
        <w:rPr>
          <w:b/>
        </w:rPr>
        <w:t>, but you will take it one step further and construct a MO diagram when you are done</w:t>
      </w:r>
      <w:r w:rsidR="003D0C88">
        <w:rPr>
          <w:b/>
        </w:rPr>
        <w:t>:</w:t>
      </w:r>
    </w:p>
    <w:p w:rsidR="007720AC" w:rsidRDefault="007720AC" w:rsidP="008047D3">
      <w:pPr>
        <w:pStyle w:val="ListParagraph"/>
        <w:numPr>
          <w:ilvl w:val="0"/>
          <w:numId w:val="1"/>
        </w:numPr>
        <w:spacing w:after="120" w:line="240" w:lineRule="auto"/>
        <w:ind w:left="360"/>
        <w:contextualSpacing w:val="0"/>
        <w:jc w:val="both"/>
      </w:pPr>
      <w:r>
        <w:t>Determine the symmetry of the molecule and assign the z-axis.</w:t>
      </w:r>
    </w:p>
    <w:p w:rsidR="007720AC" w:rsidRDefault="007720AC" w:rsidP="008047D3">
      <w:pPr>
        <w:pStyle w:val="ListParagraph"/>
        <w:numPr>
          <w:ilvl w:val="0"/>
          <w:numId w:val="1"/>
        </w:numPr>
        <w:spacing w:after="120" w:line="240" w:lineRule="auto"/>
        <w:ind w:left="360"/>
        <w:contextualSpacing w:val="0"/>
        <w:jc w:val="both"/>
      </w:pPr>
      <w:r>
        <w:t>Determine the orbitals on the central atom that will engage in</w:t>
      </w:r>
      <w:r w:rsidR="00300ACB">
        <w:t xml:space="preserve"> bonding with the ligand atoms and those that will form lone pairs.</w:t>
      </w:r>
      <w:r w:rsidR="009E7F27">
        <w:t xml:space="preserve">  Draw the MOs for these (the combination of LGO and central atom’s atomic orbital).</w:t>
      </w:r>
    </w:p>
    <w:p w:rsidR="00652F67" w:rsidRDefault="00300ACB" w:rsidP="008047D3">
      <w:pPr>
        <w:pStyle w:val="ListParagraph"/>
        <w:numPr>
          <w:ilvl w:val="0"/>
          <w:numId w:val="1"/>
        </w:numPr>
        <w:spacing w:after="120" w:line="240" w:lineRule="auto"/>
        <w:ind w:left="360"/>
        <w:contextualSpacing w:val="0"/>
        <w:jc w:val="both"/>
      </w:pPr>
      <w:r>
        <w:t xml:space="preserve">If hypervalency is involved, you will end up using at least one orbital on the central atom that it shouldn’t </w:t>
      </w:r>
      <w:r w:rsidR="009E7F27">
        <w:t>be able to use for bonding</w:t>
      </w:r>
      <w:r>
        <w:t>.  Circle the</w:t>
      </w:r>
      <w:r w:rsidR="009E7F27">
        <w:t xml:space="preserve"> corresponding</w:t>
      </w:r>
      <w:r>
        <w:t xml:space="preserve"> MO</w:t>
      </w:r>
      <w:r w:rsidR="009E7F27">
        <w:t>(s)</w:t>
      </w:r>
      <w:r>
        <w:t xml:space="preserve"> you drew and set </w:t>
      </w:r>
      <w:r w:rsidR="009E7F27">
        <w:t xml:space="preserve">it </w:t>
      </w:r>
      <w:r>
        <w:t>aside for later.</w:t>
      </w:r>
    </w:p>
    <w:p w:rsidR="00300ACB" w:rsidRDefault="00300ACB" w:rsidP="008047D3">
      <w:pPr>
        <w:pStyle w:val="ListParagraph"/>
        <w:numPr>
          <w:ilvl w:val="0"/>
          <w:numId w:val="1"/>
        </w:numPr>
        <w:spacing w:after="120" w:line="240" w:lineRule="auto"/>
        <w:ind w:left="360"/>
        <w:contextualSpacing w:val="0"/>
        <w:jc w:val="both"/>
      </w:pPr>
      <w:r>
        <w:t xml:space="preserve">Of the </w:t>
      </w:r>
      <w:r w:rsidR="009E7F27">
        <w:t xml:space="preserve">bonding LGOs that you have left, draw the corresponding antibonding molecular orbitals.  This is accomplished by simply inverting the phase of the </w:t>
      </w:r>
      <w:r w:rsidR="003B060A">
        <w:t>ligand lobes</w:t>
      </w:r>
      <w:r w:rsidR="009E7F27">
        <w:t>, creating more nodes.</w:t>
      </w:r>
    </w:p>
    <w:p w:rsidR="00652F67" w:rsidRDefault="003B060A" w:rsidP="008047D3">
      <w:pPr>
        <w:pStyle w:val="ListParagraph"/>
        <w:numPr>
          <w:ilvl w:val="0"/>
          <w:numId w:val="1"/>
        </w:numPr>
        <w:spacing w:after="120" w:line="240" w:lineRule="auto"/>
        <w:ind w:left="360"/>
        <w:contextualSpacing w:val="0"/>
        <w:jc w:val="both"/>
      </w:pPr>
      <w:r>
        <w:t>Go back to the “fake” MOs that you set aside bef</w:t>
      </w:r>
      <w:bookmarkStart w:id="0" w:name="_GoBack"/>
      <w:bookmarkEnd w:id="0"/>
      <w:r>
        <w:t>ore</w:t>
      </w:r>
      <w:r w:rsidR="004E7427">
        <w:t xml:space="preserve"> in Step 3</w:t>
      </w:r>
      <w:r>
        <w:t xml:space="preserve">.  To make these more realistic, erase the central orbital, leaving the ligand lobes behind.  You have now created a nonbonding </w:t>
      </w:r>
      <w:r w:rsidR="003D46FC">
        <w:t xml:space="preserve">molecular </w:t>
      </w:r>
      <w:r>
        <w:t>orbital.</w:t>
      </w:r>
    </w:p>
    <w:p w:rsidR="003B060A" w:rsidRDefault="003B060A" w:rsidP="008047D3">
      <w:pPr>
        <w:pStyle w:val="ListParagraph"/>
        <w:numPr>
          <w:ilvl w:val="0"/>
          <w:numId w:val="1"/>
        </w:numPr>
        <w:spacing w:after="120" w:line="240" w:lineRule="auto"/>
        <w:ind w:left="360"/>
        <w:contextualSpacing w:val="0"/>
        <w:jc w:val="both"/>
      </w:pPr>
      <w:r>
        <w:t xml:space="preserve">Arrange all the </w:t>
      </w:r>
      <w:r w:rsidR="003D46FC">
        <w:t xml:space="preserve">orbitals into an energy diagram and fill in the electrons.  You can easily determine the order by looking at the number of nodes in the bonding and antibonding </w:t>
      </w:r>
      <w:proofErr w:type="spellStart"/>
      <w:r w:rsidR="003D46FC">
        <w:t>MOs.</w:t>
      </w:r>
      <w:proofErr w:type="spellEnd"/>
      <w:r w:rsidR="003D46FC">
        <w:t xml:space="preserve">  The nonbonding orbitals will sit in the middle of the diagram</w:t>
      </w:r>
      <w:r w:rsidR="00C15D05">
        <w:t xml:space="preserve"> between the bonding and antibonding </w:t>
      </w:r>
      <w:proofErr w:type="spellStart"/>
      <w:r w:rsidR="00C15D05">
        <w:t>MOs</w:t>
      </w:r>
      <w:r w:rsidR="003D46FC">
        <w:t>.</w:t>
      </w:r>
      <w:proofErr w:type="spellEnd"/>
      <w:r w:rsidR="00C15D05">
        <w:t xml:space="preserve">  Lone pairs, if they exist, will usually be placed around the same energy as the nonbonding </w:t>
      </w:r>
      <w:proofErr w:type="spellStart"/>
      <w:r w:rsidR="00C15D05">
        <w:t>MOs.</w:t>
      </w:r>
      <w:proofErr w:type="spellEnd"/>
    </w:p>
    <w:p w:rsidR="003B060A" w:rsidRDefault="003B060A" w:rsidP="003B060A">
      <w:pPr>
        <w:spacing w:after="120" w:line="240" w:lineRule="auto"/>
      </w:pPr>
      <w:r>
        <w:lastRenderedPageBreak/>
        <w:t>Example procedure for constructing 4e3c bonding scheme:</w:t>
      </w:r>
    </w:p>
    <w:p w:rsidR="003B060A" w:rsidRDefault="003B060A" w:rsidP="003B060A">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3991"/>
      </w:tblGrid>
      <w:tr w:rsidR="003B060A" w:rsidTr="002F6173">
        <w:trPr>
          <w:trHeight w:val="1631"/>
          <w:jc w:val="center"/>
        </w:trPr>
        <w:tc>
          <w:tcPr>
            <w:tcW w:w="3991" w:type="dxa"/>
          </w:tcPr>
          <w:p w:rsidR="003B060A" w:rsidRDefault="003B060A" w:rsidP="002F6173">
            <w:pPr>
              <w:jc w:val="center"/>
            </w:pPr>
            <w:r>
              <w:rPr>
                <w:noProof/>
              </w:rPr>
              <w:drawing>
                <wp:inline distT="0" distB="0" distL="0" distR="0" wp14:anchorId="0CCD64D7" wp14:editId="3EA246ED">
                  <wp:extent cx="1449236" cy="103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F2-lewis.png"/>
                          <pic:cNvPicPr/>
                        </pic:nvPicPr>
                        <pic:blipFill rotWithShape="1">
                          <a:blip r:embed="rId10" cstate="print">
                            <a:extLst>
                              <a:ext uri="{28A0092B-C50C-407E-A947-70E740481C1C}">
                                <a14:useLocalDpi xmlns:a14="http://schemas.microsoft.com/office/drawing/2010/main" val="0"/>
                              </a:ext>
                            </a:extLst>
                          </a:blip>
                          <a:srcRect l="4074" r="55741" b="59413"/>
                          <a:stretch/>
                        </pic:blipFill>
                        <pic:spPr bwMode="auto">
                          <a:xfrm>
                            <a:off x="0" y="0"/>
                            <a:ext cx="1448673" cy="1034768"/>
                          </a:xfrm>
                          <a:prstGeom prst="rect">
                            <a:avLst/>
                          </a:prstGeom>
                          <a:ln>
                            <a:noFill/>
                          </a:ln>
                          <a:extLst>
                            <a:ext uri="{53640926-AAD7-44D8-BBD7-CCE9431645EC}">
                              <a14:shadowObscured xmlns:a14="http://schemas.microsoft.com/office/drawing/2010/main"/>
                            </a:ext>
                          </a:extLst>
                        </pic:spPr>
                      </pic:pic>
                    </a:graphicData>
                  </a:graphic>
                </wp:inline>
              </w:drawing>
            </w:r>
          </w:p>
        </w:tc>
        <w:tc>
          <w:tcPr>
            <w:tcW w:w="3991" w:type="dxa"/>
            <w:vAlign w:val="center"/>
          </w:tcPr>
          <w:p w:rsidR="003B060A" w:rsidRDefault="003B060A" w:rsidP="002F6173">
            <w:pPr>
              <w:spacing w:after="120"/>
            </w:pPr>
            <w:r w:rsidRPr="008A6371">
              <w:rPr>
                <w:b/>
              </w:rPr>
              <w:t>Electron pair geometry</w:t>
            </w:r>
            <w:r>
              <w:t>:  Trigonal Bipyramidal</w:t>
            </w:r>
          </w:p>
          <w:p w:rsidR="003B060A" w:rsidRDefault="003B060A" w:rsidP="002F6173">
            <w:pPr>
              <w:spacing w:after="120"/>
              <w:rPr>
                <w:rFonts w:eastAsiaTheme="minorEastAsia"/>
              </w:rPr>
            </w:pPr>
            <w:r w:rsidRPr="008A6371">
              <w:rPr>
                <w:b/>
              </w:rPr>
              <w:t>Molecular Shape</w:t>
            </w:r>
            <w:r>
              <w:t>: Linear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∞h</m:t>
                  </m:r>
                </m:sub>
              </m:sSub>
            </m:oMath>
            <w:r>
              <w:rPr>
                <w:rFonts w:eastAsiaTheme="minorEastAsia"/>
              </w:rPr>
              <w:t>)</w:t>
            </w:r>
          </w:p>
          <w:p w:rsidR="003B060A" w:rsidRPr="008A6371" w:rsidRDefault="003B060A" w:rsidP="002F6173">
            <w:pPr>
              <w:spacing w:after="120"/>
            </w:pPr>
            <w:r w:rsidRPr="008A6371">
              <w:rPr>
                <w:rFonts w:eastAsiaTheme="minorEastAsia"/>
                <w:b/>
              </w:rPr>
              <w:t>Hybridization</w:t>
            </w:r>
            <w:r w:rsidRPr="008A6371">
              <w:rPr>
                <w:rFonts w:eastAsiaTheme="minorEastAsia"/>
              </w:rPr>
              <w:t xml:space="preserve">:  </w:t>
            </w:r>
            <m:oMath>
              <m:r>
                <m:rPr>
                  <m:sty m:val="p"/>
                </m:rPr>
                <w:rPr>
                  <w:rFonts w:ascii="Cambria Math" w:eastAsiaTheme="minorEastAsia" w:hAnsi="Cambria Math"/>
                </w:rPr>
                <m:t>s</m:t>
              </m:r>
              <m:sSup>
                <m:sSupPr>
                  <m:ctrlPr>
                    <w:rPr>
                      <w:rFonts w:ascii="Cambria Math" w:eastAsiaTheme="minorEastAsia" w:hAnsi="Cambria Math"/>
                    </w:rPr>
                  </m:ctrlPr>
                </m:sSupPr>
                <m:e>
                  <m:r>
                    <m:rPr>
                      <m:sty m:val="p"/>
                    </m:rPr>
                    <w:rPr>
                      <w:rFonts w:ascii="Cambria Math" w:eastAsiaTheme="minorEastAsia" w:hAnsi="Cambria Math"/>
                    </w:rPr>
                    <m:t>p</m:t>
                  </m:r>
                </m:e>
                <m:sup>
                  <m:r>
                    <m:rPr>
                      <m:sty m:val="p"/>
                    </m:rPr>
                    <w:rPr>
                      <w:rFonts w:ascii="Cambria Math" w:eastAsiaTheme="minorEastAsia" w:hAnsi="Cambria Math"/>
                    </w:rPr>
                    <m:t>3</m:t>
                  </m:r>
                </m:sup>
              </m:sSup>
              <m:r>
                <m:rPr>
                  <m:sty m:val="p"/>
                </m:rPr>
                <w:rPr>
                  <w:rFonts w:ascii="Cambria Math" w:eastAsiaTheme="minorEastAsia" w:hAnsi="Cambria Math"/>
                </w:rPr>
                <m:t>d (</m:t>
              </m:r>
              <m:sSub>
                <m:sSubPr>
                  <m:ctrlPr>
                    <w:rPr>
                      <w:rFonts w:ascii="Cambria Math" w:eastAsiaTheme="minorEastAsia" w:hAnsi="Cambria Math"/>
                    </w:rPr>
                  </m:ctrlPr>
                </m:sSubPr>
                <m:e>
                  <m:r>
                    <m:rPr>
                      <m:sty m:val="p"/>
                    </m:rPr>
                    <w:rPr>
                      <w:rFonts w:ascii="Cambria Math" w:eastAsiaTheme="minorEastAsia" w:hAnsi="Cambria Math"/>
                    </w:rPr>
                    <m:t>d</m:t>
                  </m:r>
                </m:e>
                <m:sub>
                  <m:sSup>
                    <m:sSupPr>
                      <m:ctrlPr>
                        <w:rPr>
                          <w:rFonts w:ascii="Cambria Math" w:eastAsiaTheme="minorEastAsia" w:hAnsi="Cambria Math"/>
                        </w:rPr>
                      </m:ctrlPr>
                    </m:sSupPr>
                    <m:e>
                      <m:r>
                        <m:rPr>
                          <m:sty m:val="p"/>
                        </m:rPr>
                        <w:rPr>
                          <w:rFonts w:ascii="Cambria Math" w:eastAsiaTheme="minorEastAsia" w:hAnsi="Cambria Math"/>
                        </w:rPr>
                        <m:t>z</m:t>
                      </m:r>
                    </m:e>
                    <m:sup>
                      <m:r>
                        <m:rPr>
                          <m:sty m:val="p"/>
                        </m:rPr>
                        <w:rPr>
                          <w:rFonts w:ascii="Cambria Math" w:eastAsiaTheme="minorEastAsia" w:hAnsi="Cambria Math"/>
                        </w:rPr>
                        <m:t>2</m:t>
                      </m:r>
                    </m:sup>
                  </m:sSup>
                </m:sub>
              </m:sSub>
              <m:r>
                <m:rPr>
                  <m:sty m:val="p"/>
                </m:rPr>
                <w:rPr>
                  <w:rFonts w:ascii="Cambria Math" w:eastAsiaTheme="minorEastAsia" w:hAnsi="Cambria Math"/>
                </w:rPr>
                <m:t>)</m:t>
              </m:r>
            </m:oMath>
          </w:p>
        </w:tc>
      </w:tr>
    </w:tbl>
    <w:p w:rsidR="003B060A" w:rsidRDefault="003B060A" w:rsidP="003B060A">
      <w:pPr>
        <w:spacing w:after="0" w:line="240" w:lineRule="auto"/>
        <w:jc w:val="center"/>
      </w:pPr>
      <w:r>
        <w:rPr>
          <w:noProof/>
        </w:rPr>
        <w:drawing>
          <wp:anchor distT="0" distB="0" distL="114300" distR="114300" simplePos="0" relativeHeight="251662336" behindDoc="0" locked="0" layoutInCell="1" allowOverlap="1" wp14:anchorId="33467986" wp14:editId="31B0EACA">
            <wp:simplePos x="0" y="0"/>
            <wp:positionH relativeFrom="column">
              <wp:posOffset>4558737</wp:posOffset>
            </wp:positionH>
            <wp:positionV relativeFrom="paragraph">
              <wp:posOffset>-2552</wp:posOffset>
            </wp:positionV>
            <wp:extent cx="1612818" cy="1354347"/>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s.png"/>
                    <pic:cNvPicPr/>
                  </pic:nvPicPr>
                  <pic:blipFill rotWithShape="1">
                    <a:blip r:embed="rId11" cstate="print">
                      <a:extLst>
                        <a:ext uri="{28A0092B-C50C-407E-A947-70E740481C1C}">
                          <a14:useLocalDpi xmlns:a14="http://schemas.microsoft.com/office/drawing/2010/main" val="0"/>
                        </a:ext>
                      </a:extLst>
                    </a:blip>
                    <a:srcRect t="-4401" b="1"/>
                    <a:stretch/>
                  </pic:blipFill>
                  <pic:spPr bwMode="auto">
                    <a:xfrm>
                      <a:off x="0" y="0"/>
                      <a:ext cx="1612818" cy="13543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111"/>
        <w:gridCol w:w="990"/>
        <w:gridCol w:w="1800"/>
      </w:tblGrid>
      <w:tr w:rsidR="003B060A" w:rsidTr="002F6173">
        <w:tc>
          <w:tcPr>
            <w:tcW w:w="1769" w:type="dxa"/>
            <w:tcBorders>
              <w:bottom w:val="single" w:sz="12" w:space="0" w:color="auto"/>
            </w:tcBorders>
          </w:tcPr>
          <w:p w:rsidR="003B060A" w:rsidRPr="00827FE7" w:rsidRDefault="003B060A" w:rsidP="002F6173">
            <w:pPr>
              <w:jc w:val="center"/>
              <w:rPr>
                <w:b/>
              </w:rPr>
            </w:pPr>
            <w:r w:rsidRPr="00827FE7">
              <w:rPr>
                <w:b/>
              </w:rPr>
              <w:t>Orbital</w:t>
            </w:r>
          </w:p>
        </w:tc>
        <w:tc>
          <w:tcPr>
            <w:tcW w:w="1111" w:type="dxa"/>
            <w:tcBorders>
              <w:bottom w:val="single" w:sz="12" w:space="0" w:color="auto"/>
            </w:tcBorders>
          </w:tcPr>
          <w:p w:rsidR="003B060A" w:rsidRPr="00827FE7" w:rsidRDefault="003B060A" w:rsidP="002F6173">
            <w:pPr>
              <w:jc w:val="center"/>
              <w:rPr>
                <w:b/>
              </w:rPr>
            </w:pPr>
            <w:r w:rsidRPr="00827FE7">
              <w:rPr>
                <w:b/>
              </w:rPr>
              <w:t>Bond?</w:t>
            </w:r>
          </w:p>
        </w:tc>
        <w:tc>
          <w:tcPr>
            <w:tcW w:w="990" w:type="dxa"/>
            <w:tcBorders>
              <w:bottom w:val="single" w:sz="12" w:space="0" w:color="auto"/>
            </w:tcBorders>
          </w:tcPr>
          <w:p w:rsidR="003B060A" w:rsidRPr="00827FE7" w:rsidRDefault="003B060A" w:rsidP="002F6173">
            <w:pPr>
              <w:jc w:val="center"/>
              <w:rPr>
                <w:b/>
              </w:rPr>
            </w:pPr>
            <w:r w:rsidRPr="00827FE7">
              <w:rPr>
                <w:b/>
              </w:rPr>
              <w:t>LP?</w:t>
            </w:r>
          </w:p>
        </w:tc>
        <w:tc>
          <w:tcPr>
            <w:tcW w:w="1800" w:type="dxa"/>
            <w:tcBorders>
              <w:bottom w:val="single" w:sz="12" w:space="0" w:color="auto"/>
            </w:tcBorders>
          </w:tcPr>
          <w:p w:rsidR="003B060A" w:rsidRPr="003B060A" w:rsidRDefault="003B060A" w:rsidP="002F6173">
            <w:pPr>
              <w:jc w:val="center"/>
              <w:rPr>
                <w:b/>
                <w:vertAlign w:val="superscript"/>
              </w:rPr>
            </w:pPr>
            <w:r w:rsidRPr="00827FE7">
              <w:rPr>
                <w:b/>
              </w:rPr>
              <w:t>Chosen Role</w:t>
            </w:r>
            <w:r>
              <w:rPr>
                <w:b/>
                <w:vertAlign w:val="superscript"/>
              </w:rPr>
              <w:t>2</w:t>
            </w:r>
          </w:p>
        </w:tc>
      </w:tr>
      <w:tr w:rsidR="003B060A" w:rsidTr="002F6173">
        <w:tc>
          <w:tcPr>
            <w:tcW w:w="1769" w:type="dxa"/>
            <w:tcBorders>
              <w:top w:val="single" w:sz="12" w:space="0" w:color="auto"/>
            </w:tcBorders>
          </w:tcPr>
          <w:p w:rsidR="003B060A" w:rsidRPr="00827FE7" w:rsidRDefault="003B060A" w:rsidP="002F6173">
            <w:pPr>
              <w:jc w:val="center"/>
            </w:pPr>
            <m:oMathPara>
              <m:oMath>
                <m:r>
                  <m:rPr>
                    <m:sty m:val="p"/>
                  </m:rPr>
                  <w:rPr>
                    <w:rFonts w:ascii="Cambria Math" w:hAnsi="Cambria Math"/>
                  </w:rPr>
                  <m:t>s</m:t>
                </m:r>
              </m:oMath>
            </m:oMathPara>
          </w:p>
        </w:tc>
        <w:tc>
          <w:tcPr>
            <w:tcW w:w="1111" w:type="dxa"/>
            <w:tcBorders>
              <w:top w:val="single" w:sz="12" w:space="0" w:color="auto"/>
            </w:tcBorders>
          </w:tcPr>
          <w:p w:rsidR="003B060A" w:rsidRDefault="003B060A" w:rsidP="002F6173">
            <w:pPr>
              <w:jc w:val="center"/>
            </w:pPr>
            <w:r>
              <w:t>y</w:t>
            </w:r>
          </w:p>
        </w:tc>
        <w:tc>
          <w:tcPr>
            <w:tcW w:w="990" w:type="dxa"/>
            <w:tcBorders>
              <w:top w:val="single" w:sz="12" w:space="0" w:color="auto"/>
            </w:tcBorders>
          </w:tcPr>
          <w:p w:rsidR="003B060A" w:rsidRDefault="003B060A" w:rsidP="002F6173">
            <w:pPr>
              <w:jc w:val="center"/>
            </w:pPr>
            <w:r>
              <w:t>y</w:t>
            </w:r>
          </w:p>
        </w:tc>
        <w:tc>
          <w:tcPr>
            <w:tcW w:w="1800" w:type="dxa"/>
            <w:tcBorders>
              <w:top w:val="single" w:sz="12" w:space="0" w:color="auto"/>
            </w:tcBorders>
          </w:tcPr>
          <w:p w:rsidR="003B060A" w:rsidRPr="003B060A" w:rsidRDefault="003B060A" w:rsidP="002F6173">
            <w:pPr>
              <w:jc w:val="center"/>
              <w:rPr>
                <w:vertAlign w:val="superscript"/>
              </w:rPr>
            </w:pPr>
            <w:r>
              <w:t>LP</w:t>
            </w:r>
          </w:p>
        </w:tc>
      </w:tr>
      <w:tr w:rsidR="003B060A" w:rsidTr="002F6173">
        <w:tc>
          <w:tcPr>
            <w:tcW w:w="1769" w:type="dxa"/>
          </w:tcPr>
          <w:p w:rsidR="003B060A" w:rsidRPr="008A6371" w:rsidRDefault="00355219" w:rsidP="002F6173">
            <w:pPr>
              <w:jc w:val="center"/>
              <w:rPr>
                <w:vertAlign w:val="subscript"/>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x</m:t>
                    </m:r>
                  </m:sub>
                </m:sSub>
              </m:oMath>
            </m:oMathPara>
          </w:p>
        </w:tc>
        <w:tc>
          <w:tcPr>
            <w:tcW w:w="1111" w:type="dxa"/>
          </w:tcPr>
          <w:p w:rsidR="003B060A" w:rsidRDefault="003B060A" w:rsidP="002F6173">
            <w:pPr>
              <w:jc w:val="center"/>
            </w:pPr>
            <w:r>
              <w:t>n</w:t>
            </w:r>
          </w:p>
        </w:tc>
        <w:tc>
          <w:tcPr>
            <w:tcW w:w="990" w:type="dxa"/>
          </w:tcPr>
          <w:p w:rsidR="003B060A" w:rsidRDefault="003B060A" w:rsidP="002F6173">
            <w:pPr>
              <w:jc w:val="center"/>
            </w:pPr>
            <w:r>
              <w:t>y</w:t>
            </w:r>
          </w:p>
        </w:tc>
        <w:tc>
          <w:tcPr>
            <w:tcW w:w="1800" w:type="dxa"/>
          </w:tcPr>
          <w:p w:rsidR="003B060A" w:rsidRDefault="003B060A" w:rsidP="002F6173">
            <w:pPr>
              <w:jc w:val="center"/>
            </w:pPr>
            <w:r>
              <w:t>LP</w:t>
            </w:r>
          </w:p>
        </w:tc>
      </w:tr>
      <w:tr w:rsidR="003B060A" w:rsidTr="002F6173">
        <w:tc>
          <w:tcPr>
            <w:tcW w:w="1769" w:type="dxa"/>
          </w:tcPr>
          <w:p w:rsidR="003B060A" w:rsidRPr="008A6371" w:rsidRDefault="00355219" w:rsidP="002F6173">
            <w:pPr>
              <w:jc w:val="cente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y</m:t>
                    </m:r>
                  </m:sub>
                </m:sSub>
              </m:oMath>
            </m:oMathPara>
          </w:p>
        </w:tc>
        <w:tc>
          <w:tcPr>
            <w:tcW w:w="1111" w:type="dxa"/>
          </w:tcPr>
          <w:p w:rsidR="003B060A" w:rsidRDefault="003B060A" w:rsidP="002F6173">
            <w:pPr>
              <w:jc w:val="center"/>
            </w:pPr>
            <w:r>
              <w:t>n</w:t>
            </w:r>
          </w:p>
        </w:tc>
        <w:tc>
          <w:tcPr>
            <w:tcW w:w="990" w:type="dxa"/>
          </w:tcPr>
          <w:p w:rsidR="003B060A" w:rsidRDefault="003B060A" w:rsidP="002F6173">
            <w:pPr>
              <w:jc w:val="center"/>
            </w:pPr>
            <w:r>
              <w:t>y</w:t>
            </w:r>
          </w:p>
        </w:tc>
        <w:tc>
          <w:tcPr>
            <w:tcW w:w="1800" w:type="dxa"/>
          </w:tcPr>
          <w:p w:rsidR="003B060A" w:rsidRDefault="003B060A" w:rsidP="002F6173">
            <w:pPr>
              <w:jc w:val="center"/>
            </w:pPr>
            <w:r>
              <w:t>LP</w:t>
            </w:r>
          </w:p>
        </w:tc>
      </w:tr>
      <w:tr w:rsidR="003B060A" w:rsidTr="002F6173">
        <w:tc>
          <w:tcPr>
            <w:tcW w:w="1769" w:type="dxa"/>
          </w:tcPr>
          <w:p w:rsidR="003B060A" w:rsidRDefault="00355219" w:rsidP="002F6173">
            <w:pPr>
              <w:jc w:val="cente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z</m:t>
                    </m:r>
                  </m:sub>
                </m:sSub>
              </m:oMath>
            </m:oMathPara>
          </w:p>
        </w:tc>
        <w:tc>
          <w:tcPr>
            <w:tcW w:w="1111" w:type="dxa"/>
          </w:tcPr>
          <w:p w:rsidR="003B060A" w:rsidRDefault="003B060A" w:rsidP="002F6173">
            <w:pPr>
              <w:jc w:val="center"/>
            </w:pPr>
            <w:r>
              <w:t>y</w:t>
            </w:r>
          </w:p>
        </w:tc>
        <w:tc>
          <w:tcPr>
            <w:tcW w:w="990" w:type="dxa"/>
          </w:tcPr>
          <w:p w:rsidR="003B060A" w:rsidRDefault="003B060A" w:rsidP="002F6173">
            <w:pPr>
              <w:jc w:val="center"/>
            </w:pPr>
            <w:r>
              <w:t>n</w:t>
            </w:r>
          </w:p>
        </w:tc>
        <w:tc>
          <w:tcPr>
            <w:tcW w:w="1800" w:type="dxa"/>
          </w:tcPr>
          <w:p w:rsidR="003B060A" w:rsidRDefault="003B060A" w:rsidP="002F6173">
            <w:pPr>
              <w:jc w:val="center"/>
            </w:pPr>
            <w:r>
              <w:t>bond</w:t>
            </w:r>
          </w:p>
        </w:tc>
      </w:tr>
      <w:tr w:rsidR="003B060A" w:rsidTr="002F6173">
        <w:tc>
          <w:tcPr>
            <w:tcW w:w="1769" w:type="dxa"/>
          </w:tcPr>
          <w:p w:rsidR="003B060A" w:rsidRDefault="00355219" w:rsidP="002F6173">
            <w:pPr>
              <w:jc w:val="center"/>
            </w:pPr>
            <m:oMathPara>
              <m:oMath>
                <m:sSub>
                  <m:sSubPr>
                    <m:ctrlPr>
                      <w:rPr>
                        <w:rFonts w:ascii="Cambria Math" w:hAnsi="Cambria Math"/>
                      </w:rPr>
                    </m:ctrlPr>
                  </m:sSubPr>
                  <m:e>
                    <m:r>
                      <m:rPr>
                        <m:sty m:val="p"/>
                      </m:rPr>
                      <w:rPr>
                        <w:rFonts w:ascii="Cambria Math" w:hAnsi="Cambria Math"/>
                      </w:rPr>
                      <m:t>d</m:t>
                    </m:r>
                  </m:e>
                  <m:sub>
                    <m:sSup>
                      <m:sSupPr>
                        <m:ctrlPr>
                          <w:rPr>
                            <w:rFonts w:ascii="Cambria Math" w:hAnsi="Cambria Math"/>
                          </w:rPr>
                        </m:ctrlPr>
                      </m:sSupPr>
                      <m:e>
                        <m:r>
                          <m:rPr>
                            <m:sty m:val="p"/>
                          </m:rPr>
                          <w:rPr>
                            <w:rFonts w:ascii="Cambria Math" w:hAnsi="Cambria Math"/>
                          </w:rPr>
                          <m:t>z</m:t>
                        </m:r>
                      </m:e>
                      <m:sup>
                        <m:r>
                          <m:rPr>
                            <m:sty m:val="p"/>
                          </m:rPr>
                          <w:rPr>
                            <w:rFonts w:ascii="Cambria Math" w:hAnsi="Cambria Math"/>
                          </w:rPr>
                          <m:t>2</m:t>
                        </m:r>
                      </m:sup>
                    </m:sSup>
                  </m:sub>
                </m:sSub>
              </m:oMath>
            </m:oMathPara>
          </w:p>
        </w:tc>
        <w:tc>
          <w:tcPr>
            <w:tcW w:w="1111" w:type="dxa"/>
          </w:tcPr>
          <w:p w:rsidR="003B060A" w:rsidRDefault="003B060A" w:rsidP="002F6173">
            <w:pPr>
              <w:jc w:val="center"/>
            </w:pPr>
            <w:r>
              <w:t>y</w:t>
            </w:r>
          </w:p>
        </w:tc>
        <w:tc>
          <w:tcPr>
            <w:tcW w:w="990" w:type="dxa"/>
          </w:tcPr>
          <w:p w:rsidR="003B060A" w:rsidRDefault="003B060A" w:rsidP="002F6173">
            <w:pPr>
              <w:jc w:val="center"/>
            </w:pPr>
            <w:r>
              <w:t>y</w:t>
            </w:r>
          </w:p>
        </w:tc>
        <w:tc>
          <w:tcPr>
            <w:tcW w:w="1800" w:type="dxa"/>
          </w:tcPr>
          <w:p w:rsidR="003B060A" w:rsidRPr="003B060A" w:rsidRDefault="003B060A" w:rsidP="002F6173">
            <w:pPr>
              <w:jc w:val="center"/>
              <w:rPr>
                <w:vertAlign w:val="superscript"/>
              </w:rPr>
            </w:pPr>
            <w:r>
              <w:t>bond</w:t>
            </w:r>
          </w:p>
        </w:tc>
      </w:tr>
    </w:tbl>
    <w:p w:rsidR="003B060A" w:rsidRDefault="003B060A" w:rsidP="003B060A">
      <w:pPr>
        <w:spacing w:after="0" w:line="240" w:lineRule="auto"/>
      </w:pPr>
    </w:p>
    <w:p w:rsidR="00DD265E" w:rsidRDefault="00DD265E" w:rsidP="003B060A">
      <w:pPr>
        <w:spacing w:after="0" w:line="240" w:lineRule="auto"/>
      </w:pPr>
    </w:p>
    <w:p w:rsidR="003B060A" w:rsidRPr="00DD265E" w:rsidRDefault="00DD265E" w:rsidP="003B060A">
      <w:pPr>
        <w:spacing w:after="0" w:line="240" w:lineRule="auto"/>
        <w:rPr>
          <w:b/>
        </w:rPr>
      </w:pPr>
      <w:r w:rsidRPr="00DD265E">
        <w:rPr>
          <w:b/>
        </w:rPr>
        <w:t>Bonding/Antibonding/Nonbonding Molecular Orbitals (I’ve left out the lone pair orbitals):</w:t>
      </w:r>
    </w:p>
    <w:p w:rsidR="003B060A" w:rsidRDefault="00DD1AF7" w:rsidP="00BA52EE">
      <w:pPr>
        <w:jc w:val="both"/>
      </w:pPr>
      <w:r>
        <w:rPr>
          <w:noProof/>
        </w:rPr>
        <w:drawing>
          <wp:anchor distT="0" distB="0" distL="114300" distR="114300" simplePos="0" relativeHeight="251669504" behindDoc="0" locked="0" layoutInCell="1" allowOverlap="1">
            <wp:simplePos x="0" y="0"/>
            <wp:positionH relativeFrom="column">
              <wp:posOffset>633095</wp:posOffset>
            </wp:positionH>
            <wp:positionV relativeFrom="paragraph">
              <wp:posOffset>181335</wp:posOffset>
            </wp:positionV>
            <wp:extent cx="5072332" cy="32708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5072332" cy="327084"/>
                    </a:xfrm>
                    <a:prstGeom prst="rect">
                      <a:avLst/>
                    </a:prstGeom>
                  </pic:spPr>
                </pic:pic>
              </a:graphicData>
            </a:graphic>
            <wp14:sizeRelH relativeFrom="page">
              <wp14:pctWidth>0</wp14:pctWidth>
            </wp14:sizeRelH>
            <wp14:sizeRelV relativeFrom="page">
              <wp14:pctHeight>0</wp14:pctHeight>
            </wp14:sizeRelV>
          </wp:anchor>
        </w:drawing>
      </w:r>
    </w:p>
    <w:p w:rsidR="00DD265E" w:rsidRDefault="00DD265E" w:rsidP="003A5CD6">
      <w:pPr>
        <w:spacing w:after="0"/>
        <w:rPr>
          <w:b/>
        </w:rPr>
      </w:pPr>
    </w:p>
    <w:p w:rsidR="00DD265E" w:rsidRDefault="00DD1AF7" w:rsidP="003A5CD6">
      <w:pPr>
        <w:spacing w:after="0"/>
        <w:rPr>
          <w:b/>
        </w:rPr>
      </w:pPr>
      <w:r>
        <w:rPr>
          <w:b/>
          <w:noProof/>
        </w:rPr>
        <mc:AlternateContent>
          <mc:Choice Requires="wps">
            <w:drawing>
              <wp:anchor distT="0" distB="0" distL="114300" distR="114300" simplePos="0" relativeHeight="251668480" behindDoc="0" locked="0" layoutInCell="1" allowOverlap="1" wp14:anchorId="0E26F067" wp14:editId="06E15179">
                <wp:simplePos x="0" y="0"/>
                <wp:positionH relativeFrom="column">
                  <wp:posOffset>4472305</wp:posOffset>
                </wp:positionH>
                <wp:positionV relativeFrom="paragraph">
                  <wp:posOffset>-1270</wp:posOffset>
                </wp:positionV>
                <wp:extent cx="1086485" cy="2495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8648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65E" w:rsidRPr="00DD265E" w:rsidRDefault="00DD265E">
                            <m:oMathPara>
                              <m:oMath>
                                <m:r>
                                  <m:rPr>
                                    <m:sty m:val="p"/>
                                  </m:rPr>
                                  <w:rPr>
                                    <w:rFonts w:ascii="Cambria Math" w:hAnsi="Cambria Math"/>
                                  </w:rPr>
                                  <m:t>N.B.</m:t>
                                </m:r>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6F067" id="Text Box 16" o:spid="_x0000_s1029" type="#_x0000_t202" style="position:absolute;margin-left:352.15pt;margin-top:-.1pt;width:85.55pt;height:19.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" fillcolor="white [3201]" stroked="f" strokeweight=".5pt">
                <v:textbox inset="0,0,0,0">
                  <w:txbxContent>
                    <w:p w:rsidR="00DD265E" w:rsidRPr="00DD265E" w:rsidRDefault="00DD265E">
                      <m:oMathPara>
                        <m:oMath>
                          <m:r>
                            <m:rPr>
                              <m:sty m:val="p"/>
                            </m:rPr>
                            <w:rPr>
                              <w:rFonts w:ascii="Cambria Math" w:hAnsi="Cambria Math"/>
                            </w:rPr>
                            <m:t>N.B.</m:t>
                          </m:r>
                        </m:oMath>
                      </m:oMathPara>
                    </w:p>
                  </w:txbxContent>
                </v:textbox>
              </v:shape>
            </w:pict>
          </mc:Fallback>
        </mc:AlternateContent>
      </w:r>
      <w:r w:rsidR="00DD265E">
        <w:rPr>
          <w:b/>
          <w:noProof/>
        </w:rPr>
        <mc:AlternateContent>
          <mc:Choice Requires="wps">
            <w:drawing>
              <wp:anchor distT="0" distB="0" distL="114300" distR="114300" simplePos="0" relativeHeight="251664384" behindDoc="0" locked="0" layoutInCell="1" allowOverlap="1" wp14:anchorId="7ABDB8A6" wp14:editId="5B61ACD1">
                <wp:simplePos x="0" y="0"/>
                <wp:positionH relativeFrom="column">
                  <wp:posOffset>892379</wp:posOffset>
                </wp:positionH>
                <wp:positionV relativeFrom="paragraph">
                  <wp:posOffset>-1905</wp:posOffset>
                </wp:positionV>
                <wp:extent cx="1086485" cy="24955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8648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65E" w:rsidRPr="00DD265E" w:rsidRDefault="00355219">
                            <m:oMathPara>
                              <m:oMath>
                                <m:sSub>
                                  <m:sSubPr>
                                    <m:ctrlPr>
                                      <w:rPr>
                                        <w:rFonts w:ascii="Cambria Math" w:hAnsi="Cambria Math"/>
                                      </w:rPr>
                                    </m:ctrlPr>
                                  </m:sSubPr>
                                  <m:e>
                                    <m:r>
                                      <m:rPr>
                                        <m:sty m:val="p"/>
                                      </m:rPr>
                                      <w:rPr>
                                        <w:rFonts w:ascii="Cambria Math" w:hAnsi="Cambria Math"/>
                                      </w:rPr>
                                      <m:t>σ</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z</m:t>
                                        </m:r>
                                      </m:sub>
                                    </m:sSub>
                                  </m:sub>
                                </m:sSub>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BDB8A6" id="Text Box 14" o:spid="_x0000_s1030" type="#_x0000_t202" style="position:absolute;margin-left:70.25pt;margin-top:-.15pt;width:85.55pt;height:19.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" fillcolor="white [3201]" stroked="f" strokeweight=".5pt">
                <v:textbox inset="0,0,0,0">
                  <w:txbxContent>
                    <w:p w:rsidR="00DD265E" w:rsidRPr="00DD265E" w:rsidRDefault="00355219">
                      <m:oMathPara>
                        <m:oMath>
                          <m:sSub>
                            <m:sSubPr>
                              <m:ctrlPr>
                                <w:rPr>
                                  <w:rFonts w:ascii="Cambria Math" w:hAnsi="Cambria Math"/>
                                </w:rPr>
                              </m:ctrlPr>
                            </m:sSubPr>
                            <m:e>
                              <m:r>
                                <m:rPr>
                                  <m:sty m:val="p"/>
                                </m:rPr>
                                <w:rPr>
                                  <w:rFonts w:ascii="Cambria Math" w:hAnsi="Cambria Math"/>
                                </w:rPr>
                                <m:t>σ</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z</m:t>
                                  </m:r>
                                </m:sub>
                              </m:sSub>
                            </m:sub>
                          </m:sSub>
                        </m:oMath>
                      </m:oMathPara>
                    </w:p>
                  </w:txbxContent>
                </v:textbox>
              </v:shape>
            </w:pict>
          </mc:Fallback>
        </mc:AlternateContent>
      </w:r>
      <w:r w:rsidR="00DD265E">
        <w:rPr>
          <w:b/>
          <w:noProof/>
        </w:rPr>
        <mc:AlternateContent>
          <mc:Choice Requires="wps">
            <w:drawing>
              <wp:anchor distT="0" distB="0" distL="114300" distR="114300" simplePos="0" relativeHeight="251666432" behindDoc="0" locked="0" layoutInCell="1" allowOverlap="1" wp14:anchorId="4D2FB926" wp14:editId="3ADEBDDF">
                <wp:simplePos x="0" y="0"/>
                <wp:positionH relativeFrom="column">
                  <wp:posOffset>2660650</wp:posOffset>
                </wp:positionH>
                <wp:positionV relativeFrom="paragraph">
                  <wp:posOffset>-1905</wp:posOffset>
                </wp:positionV>
                <wp:extent cx="1086485" cy="2495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86485"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265E" w:rsidRPr="00DD265E" w:rsidRDefault="00355219">
                            <m:oMathPara>
                              <m:oMath>
                                <m:sSubSup>
                                  <m:sSubSupPr>
                                    <m:ctrlPr>
                                      <w:rPr>
                                        <w:rFonts w:ascii="Cambria Math" w:hAnsi="Cambria Math"/>
                                      </w:rPr>
                                    </m:ctrlPr>
                                  </m:sSubSupPr>
                                  <m:e>
                                    <m:r>
                                      <m:rPr>
                                        <m:sty m:val="p"/>
                                      </m:rPr>
                                      <w:rPr>
                                        <w:rFonts w:ascii="Cambria Math" w:hAnsi="Cambria Math"/>
                                      </w:rPr>
                                      <m:t>σ</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z</m:t>
                                        </m:r>
                                      </m:sub>
                                    </m:sSub>
                                  </m:sub>
                                  <m:sup>
                                    <m:r>
                                      <m:rPr>
                                        <m:sty m:val="p"/>
                                      </m:rPr>
                                      <w:rPr>
                                        <w:rFonts w:ascii="Cambria Math" w:hAnsi="Cambria Math"/>
                                      </w:rPr>
                                      <m:t>*</m:t>
                                    </m:r>
                                  </m:sup>
                                </m:sSubSup>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FB926" id="Text Box 15" o:spid="_x0000_s1031" type="#_x0000_t202" style="position:absolute;margin-left:209.5pt;margin-top:-.15pt;width:85.55pt;height:1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" fillcolor="white [3201]" stroked="f" strokeweight=".5pt">
                <v:textbox inset="0,0,0,0">
                  <w:txbxContent>
                    <w:p w:rsidR="00DD265E" w:rsidRPr="00DD265E" w:rsidRDefault="00355219">
                      <m:oMathPara>
                        <m:oMath>
                          <m:sSubSup>
                            <m:sSubSupPr>
                              <m:ctrlPr>
                                <w:rPr>
                                  <w:rFonts w:ascii="Cambria Math" w:hAnsi="Cambria Math"/>
                                </w:rPr>
                              </m:ctrlPr>
                            </m:sSubSupPr>
                            <m:e>
                              <m:r>
                                <m:rPr>
                                  <m:sty m:val="p"/>
                                </m:rPr>
                                <w:rPr>
                                  <w:rFonts w:ascii="Cambria Math" w:hAnsi="Cambria Math"/>
                                </w:rPr>
                                <m:t>σ</m:t>
                              </m:r>
                            </m:e>
                            <m:sub>
                              <m:sSub>
                                <m:sSubPr>
                                  <m:ctrlPr>
                                    <w:rPr>
                                      <w:rFonts w:ascii="Cambria Math" w:hAnsi="Cambria Math"/>
                                    </w:rPr>
                                  </m:ctrlPr>
                                </m:sSubPr>
                                <m:e>
                                  <m:r>
                                    <m:rPr>
                                      <m:sty m:val="p"/>
                                    </m:rPr>
                                    <w:rPr>
                                      <w:rFonts w:ascii="Cambria Math" w:hAnsi="Cambria Math"/>
                                    </w:rPr>
                                    <m:t>p</m:t>
                                  </m:r>
                                </m:e>
                                <m:sub>
                                  <m:r>
                                    <m:rPr>
                                      <m:sty m:val="p"/>
                                    </m:rPr>
                                    <w:rPr>
                                      <w:rFonts w:ascii="Cambria Math" w:hAnsi="Cambria Math"/>
                                    </w:rPr>
                                    <m:t>z</m:t>
                                  </m:r>
                                </m:sub>
                              </m:sSub>
                            </m:sub>
                            <m:sup>
                              <m:r>
                                <m:rPr>
                                  <m:sty m:val="p"/>
                                </m:rPr>
                                <w:rPr>
                                  <w:rFonts w:ascii="Cambria Math" w:hAnsi="Cambria Math"/>
                                </w:rPr>
                                <m:t>*</m:t>
                              </m:r>
                            </m:sup>
                          </m:sSubSup>
                        </m:oMath>
                      </m:oMathPara>
                    </w:p>
                  </w:txbxContent>
                </v:textbox>
              </v:shape>
            </w:pict>
          </mc:Fallback>
        </mc:AlternateContent>
      </w:r>
    </w:p>
    <w:p w:rsidR="00DD265E" w:rsidRDefault="00DD265E" w:rsidP="003A5CD6">
      <w:pPr>
        <w:spacing w:after="0"/>
        <w:rPr>
          <w:b/>
        </w:rPr>
      </w:pPr>
    </w:p>
    <w:p w:rsidR="00DD265E" w:rsidRDefault="00DD265E" w:rsidP="003A5CD6">
      <w:pPr>
        <w:spacing w:after="0"/>
        <w:rPr>
          <w:b/>
        </w:rPr>
      </w:pPr>
      <w:r>
        <w:rPr>
          <w:b/>
        </w:rPr>
        <w:t>Full Molecular Orbital Diagram:</w:t>
      </w:r>
    </w:p>
    <w:p w:rsidR="00DD265E" w:rsidRDefault="00DD265E" w:rsidP="003A5CD6">
      <w:pPr>
        <w:spacing w:after="0"/>
        <w:rPr>
          <w:b/>
        </w:rPr>
      </w:pPr>
    </w:p>
    <w:p w:rsidR="00DD265E" w:rsidRDefault="009D74A3" w:rsidP="003A5CD6">
      <w:pPr>
        <w:spacing w:after="0"/>
        <w:rPr>
          <w:b/>
        </w:rPr>
      </w:pPr>
      <w:r>
        <w:rPr>
          <w:b/>
          <w:noProof/>
        </w:rPr>
        <w:drawing>
          <wp:anchor distT="0" distB="0" distL="114300" distR="114300" simplePos="0" relativeHeight="251670528" behindDoc="0" locked="0" layoutInCell="1" allowOverlap="1" wp14:anchorId="6C1A6EDB" wp14:editId="4D1BB69A">
            <wp:simplePos x="0" y="0"/>
            <wp:positionH relativeFrom="column">
              <wp:posOffset>581911</wp:posOffset>
            </wp:positionH>
            <wp:positionV relativeFrom="paragraph">
              <wp:posOffset>9621</wp:posOffset>
            </wp:positionV>
            <wp:extent cx="5365115" cy="3991610"/>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eF2 MO Scheme.png"/>
                    <pic:cNvPicPr/>
                  </pic:nvPicPr>
                  <pic:blipFill rotWithShape="1">
                    <a:blip r:embed="rId13">
                      <a:extLst>
                        <a:ext uri="{28A0092B-C50C-407E-A947-70E740481C1C}">
                          <a14:useLocalDpi xmlns:a14="http://schemas.microsoft.com/office/drawing/2010/main" val="0"/>
                        </a:ext>
                      </a:extLst>
                    </a:blip>
                    <a:srcRect l="9973" b="7232"/>
                    <a:stretch/>
                  </pic:blipFill>
                  <pic:spPr bwMode="auto">
                    <a:xfrm>
                      <a:off x="0" y="0"/>
                      <a:ext cx="5365115" cy="3991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74A3" w:rsidRDefault="009D74A3">
      <w:pPr>
        <w:rPr>
          <w:b/>
        </w:rPr>
      </w:pPr>
      <w:r>
        <w:rPr>
          <w:b/>
        </w:rPr>
        <w:br w:type="page"/>
      </w:r>
    </w:p>
    <w:p w:rsidR="003A5CD6" w:rsidRPr="005C15EC" w:rsidRDefault="003A5CD6" w:rsidP="003A5CD6">
      <w:pPr>
        <w:spacing w:after="0"/>
      </w:pPr>
      <w:r>
        <w:rPr>
          <w:b/>
        </w:rPr>
        <w:lastRenderedPageBreak/>
        <w:t>Group Activity</w:t>
      </w:r>
      <w:r w:rsidR="00D762E0">
        <w:rPr>
          <w:b/>
        </w:rPr>
        <w:t xml:space="preserve"> </w:t>
      </w:r>
      <w:r w:rsidR="00D762E0" w:rsidRPr="005C15EC">
        <w:t>(your assignment is actually easier than the worked example because there are no lone pairs)</w:t>
      </w:r>
      <w:r w:rsidRPr="005C15EC">
        <w:t>:</w:t>
      </w:r>
    </w:p>
    <w:p w:rsidR="003A5CD6" w:rsidRDefault="003A5CD6" w:rsidP="003A5CD6">
      <w:pPr>
        <w:spacing w:after="0"/>
      </w:pPr>
    </w:p>
    <w:p w:rsidR="006038EB" w:rsidRDefault="006038EB" w:rsidP="006F1C35">
      <w:pPr>
        <w:pStyle w:val="ListParagraph"/>
        <w:numPr>
          <w:ilvl w:val="0"/>
          <w:numId w:val="2"/>
        </w:numPr>
        <w:spacing w:after="180"/>
        <w:contextualSpacing w:val="0"/>
      </w:pPr>
      <w:r>
        <w:t>Draw the Lewis Structure for SF</w:t>
      </w:r>
      <w:r>
        <w:rPr>
          <w:vertAlign w:val="subscript"/>
        </w:rPr>
        <w:t>5</w:t>
      </w:r>
      <w:r>
        <w:rPr>
          <w:vertAlign w:val="superscript"/>
        </w:rPr>
        <w:t>+</w:t>
      </w:r>
      <w:r>
        <w:t>.</w:t>
      </w:r>
    </w:p>
    <w:p w:rsidR="003A5CD6" w:rsidRDefault="003A5CD6" w:rsidP="006F1C35">
      <w:pPr>
        <w:pStyle w:val="ListParagraph"/>
        <w:numPr>
          <w:ilvl w:val="0"/>
          <w:numId w:val="2"/>
        </w:numPr>
        <w:spacing w:after="180"/>
        <w:contextualSpacing w:val="0"/>
      </w:pPr>
      <w:r>
        <w:t>Come up with a multicenter bonding scheme for SF</w:t>
      </w:r>
      <w:r w:rsidRPr="003A5CD6">
        <w:rPr>
          <w:vertAlign w:val="subscript"/>
        </w:rPr>
        <w:t>5</w:t>
      </w:r>
      <w:r w:rsidRPr="003A5CD6">
        <w:rPr>
          <w:vertAlign w:val="superscript"/>
        </w:rPr>
        <w:t>+</w:t>
      </w:r>
      <w:r w:rsidR="008B712C" w:rsidRPr="008B712C">
        <w:t xml:space="preserve"> </w:t>
      </w:r>
      <w:r w:rsidR="008B712C">
        <w:t>and draw its MO diagram.  You will be making a 10e6c manifold.</w:t>
      </w:r>
    </w:p>
    <w:p w:rsidR="003A5CD6" w:rsidRDefault="003A5CD6" w:rsidP="006F1C35">
      <w:pPr>
        <w:pStyle w:val="ListParagraph"/>
        <w:numPr>
          <w:ilvl w:val="0"/>
          <w:numId w:val="2"/>
        </w:numPr>
        <w:spacing w:after="180"/>
        <w:contextualSpacing w:val="0"/>
      </w:pPr>
      <w:r>
        <w:t>What is the average</w:t>
      </w:r>
      <w:r w:rsidR="005C15EC">
        <w:t xml:space="preserve"> S-F</w:t>
      </w:r>
      <w:r>
        <w:t xml:space="preserve"> bond-order for SF</w:t>
      </w:r>
      <w:r>
        <w:rPr>
          <w:vertAlign w:val="subscript"/>
        </w:rPr>
        <w:t>5</w:t>
      </w:r>
      <w:r>
        <w:rPr>
          <w:vertAlign w:val="superscript"/>
        </w:rPr>
        <w:t>+</w:t>
      </w:r>
      <w:r w:rsidRPr="003A5CD6">
        <w:t>?</w:t>
      </w:r>
    </w:p>
    <w:p w:rsidR="003A5CD6" w:rsidRDefault="003A5CD6" w:rsidP="006F1C35">
      <w:pPr>
        <w:pStyle w:val="ListParagraph"/>
        <w:numPr>
          <w:ilvl w:val="0"/>
          <w:numId w:val="2"/>
        </w:numPr>
        <w:spacing w:after="180"/>
        <w:contextualSpacing w:val="0"/>
      </w:pPr>
      <w:r>
        <w:t>What do the non-bonding electrons in the multi-center bonding scheme for  SF</w:t>
      </w:r>
      <w:r w:rsidRPr="003A5CD6">
        <w:rPr>
          <w:vertAlign w:val="subscript"/>
        </w:rPr>
        <w:t>5</w:t>
      </w:r>
      <w:r w:rsidRPr="003A5CD6">
        <w:rPr>
          <w:vertAlign w:val="superscript"/>
        </w:rPr>
        <w:t>+</w:t>
      </w:r>
      <w:r>
        <w:t xml:space="preserve"> actually represent</w:t>
      </w:r>
      <w:r w:rsidR="008A6371">
        <w:t xml:space="preserve"> (see Scheme 1</w:t>
      </w:r>
      <w:r w:rsidR="005C15EC">
        <w:t xml:space="preserve"> for a hint</w:t>
      </w:r>
      <w:r w:rsidR="008A6371">
        <w:t>)</w:t>
      </w:r>
      <w:r>
        <w:t>?</w:t>
      </w:r>
    </w:p>
    <w:p w:rsidR="003A5CD6" w:rsidRDefault="003A5CD6" w:rsidP="006F1C35">
      <w:pPr>
        <w:pStyle w:val="ListParagraph"/>
        <w:numPr>
          <w:ilvl w:val="0"/>
          <w:numId w:val="2"/>
        </w:numPr>
        <w:spacing w:after="180"/>
        <w:contextualSpacing w:val="0"/>
      </w:pPr>
      <w:r>
        <w:t>PF</w:t>
      </w:r>
      <w:r>
        <w:rPr>
          <w:vertAlign w:val="subscript"/>
        </w:rPr>
        <w:t>5</w:t>
      </w:r>
      <w:r>
        <w:t>, SF</w:t>
      </w:r>
      <w:r>
        <w:rPr>
          <w:vertAlign w:val="subscript"/>
        </w:rPr>
        <w:t>5</w:t>
      </w:r>
      <w:r>
        <w:rPr>
          <w:vertAlign w:val="superscript"/>
        </w:rPr>
        <w:t>+</w:t>
      </w:r>
      <w:r>
        <w:t>, and SF</w:t>
      </w:r>
      <w:r>
        <w:rPr>
          <w:vertAlign w:val="subscript"/>
        </w:rPr>
        <w:t>6</w:t>
      </w:r>
      <w:r>
        <w:t xml:space="preserve"> are all stable species, but PH</w:t>
      </w:r>
      <w:r w:rsidRPr="003A5CD6">
        <w:rPr>
          <w:vertAlign w:val="subscript"/>
        </w:rPr>
        <w:t>5</w:t>
      </w:r>
      <w:r>
        <w:t>, SH</w:t>
      </w:r>
      <w:r w:rsidRPr="003A5CD6">
        <w:rPr>
          <w:vertAlign w:val="subscript"/>
        </w:rPr>
        <w:t>5</w:t>
      </w:r>
      <w:r>
        <w:rPr>
          <w:vertAlign w:val="superscript"/>
        </w:rPr>
        <w:t>+</w:t>
      </w:r>
      <w:r>
        <w:t xml:space="preserve"> and SH</w:t>
      </w:r>
      <w:r w:rsidRPr="003A5CD6">
        <w:rPr>
          <w:vertAlign w:val="subscript"/>
        </w:rPr>
        <w:t>6</w:t>
      </w:r>
      <w:r>
        <w:t xml:space="preserve"> are not.  Why aren’t the</w:t>
      </w:r>
      <w:r w:rsidR="0066454F">
        <w:t xml:space="preserve"> hydride compounds</w:t>
      </w:r>
      <w:r>
        <w:t xml:space="preserve"> stable?</w:t>
      </w:r>
      <w:r w:rsidR="003D0C88">
        <w:t xml:space="preserve">  Think about what the multi-center bonding concept actually means</w:t>
      </w:r>
      <w:r w:rsidR="005C15EC">
        <w:t xml:space="preserve"> (and your answer to question 4)</w:t>
      </w:r>
      <w:r w:rsidR="003D0C88">
        <w:t>.</w:t>
      </w:r>
    </w:p>
    <w:p w:rsidR="008A6371" w:rsidRPr="003A5CD6" w:rsidRDefault="008A6371" w:rsidP="008A6371">
      <w:pPr>
        <w:pStyle w:val="ListParagraph"/>
        <w:numPr>
          <w:ilvl w:val="0"/>
          <w:numId w:val="2"/>
        </w:numPr>
        <w:spacing w:after="180"/>
        <w:contextualSpacing w:val="0"/>
      </w:pPr>
      <w:r>
        <w:t>It is notable (but tough to explain) that the difference in bond lengths for PF</w:t>
      </w:r>
      <w:r>
        <w:rPr>
          <w:vertAlign w:val="subscript"/>
        </w:rPr>
        <w:t>5</w:t>
      </w:r>
      <w:r>
        <w:t xml:space="preserve">’s axial P-F bonds (1.577 </w:t>
      </w:r>
      <w:r>
        <w:rPr>
          <w:rFonts w:cstheme="minorHAnsi"/>
        </w:rPr>
        <w:t>Å</w:t>
      </w:r>
      <w:r>
        <w:t xml:space="preserve">) and equatorial P-F bonds (1.543 </w:t>
      </w:r>
      <w:r>
        <w:rPr>
          <w:rFonts w:cstheme="minorHAnsi"/>
        </w:rPr>
        <w:t>Å</w:t>
      </w:r>
      <w:r>
        <w:t>) is so small.  If you were to ask a freshman who had just been taught hybrid orbital theory and VSEPR, which set of P-F bonds would she tell you should be longer?  Explain.</w:t>
      </w:r>
    </w:p>
    <w:p w:rsidR="003D0C88" w:rsidRDefault="003D0C88" w:rsidP="00EA68CC">
      <w:pPr>
        <w:spacing w:after="0"/>
        <w:jc w:val="center"/>
      </w:pPr>
    </w:p>
    <w:p w:rsidR="003D0C88" w:rsidRDefault="003D0C88" w:rsidP="00EA68CC">
      <w:pPr>
        <w:spacing w:after="0"/>
        <w:jc w:val="center"/>
      </w:pPr>
    </w:p>
    <w:p w:rsidR="00032BD8" w:rsidRPr="00032BD8" w:rsidRDefault="003046DB" w:rsidP="003B060A">
      <w:pPr>
        <w:spacing w:after="0"/>
        <w:ind w:left="306" w:hanging="306"/>
        <w:jc w:val="center"/>
        <w:rPr>
          <w:rFonts w:ascii="Calibri" w:hAnsi="Calibri" w:cs="Calibri"/>
          <w:noProof/>
        </w:rPr>
      </w:pPr>
      <w:r>
        <w:fldChar w:fldCharType="begin"/>
      </w:r>
      <w:r>
        <w:instrText xml:space="preserve"> ADDIN EN.REFLIST </w:instrText>
      </w:r>
      <w:r>
        <w:fldChar w:fldCharType="separate"/>
      </w:r>
      <w:r w:rsidR="00032BD8" w:rsidRPr="00032BD8">
        <w:rPr>
          <w:rFonts w:ascii="Calibri" w:hAnsi="Calibri" w:cs="Calibri"/>
          <w:noProof/>
        </w:rPr>
        <w:t>References</w:t>
      </w:r>
    </w:p>
    <w:p w:rsidR="00032BD8" w:rsidRPr="00032BD8" w:rsidRDefault="00032BD8" w:rsidP="003B060A">
      <w:pPr>
        <w:spacing w:after="0"/>
        <w:ind w:left="306" w:hanging="306"/>
        <w:jc w:val="center"/>
        <w:rPr>
          <w:rFonts w:ascii="Calibri" w:hAnsi="Calibri" w:cs="Calibri"/>
          <w:noProof/>
        </w:rPr>
      </w:pPr>
    </w:p>
    <w:p w:rsidR="00032BD8" w:rsidRPr="00032BD8" w:rsidRDefault="00032BD8" w:rsidP="003B060A">
      <w:pPr>
        <w:spacing w:after="0" w:line="240" w:lineRule="auto"/>
        <w:ind w:left="306" w:hanging="306"/>
        <w:jc w:val="both"/>
        <w:rPr>
          <w:rFonts w:ascii="Calibri" w:hAnsi="Calibri" w:cs="Calibri"/>
          <w:noProof/>
        </w:rPr>
      </w:pPr>
      <w:bookmarkStart w:id="1" w:name="_ENREF_1"/>
      <w:r w:rsidRPr="00032BD8">
        <w:rPr>
          <w:rFonts w:ascii="Calibri" w:hAnsi="Calibri" w:cs="Calibri"/>
          <w:b/>
          <w:noProof/>
        </w:rPr>
        <w:t>1</w:t>
      </w:r>
      <w:r w:rsidRPr="00032BD8">
        <w:rPr>
          <w:rFonts w:ascii="Calibri" w:hAnsi="Calibri" w:cs="Calibri"/>
          <w:noProof/>
        </w:rPr>
        <w:t xml:space="preserve">.  Mitchell, T. A.; Finocchio, D.; Kua, J.  "Predicting the Stability of Hypervalent Molecules."  </w:t>
      </w:r>
      <w:r w:rsidRPr="00032BD8">
        <w:rPr>
          <w:rFonts w:ascii="Calibri" w:hAnsi="Calibri" w:cs="Calibri"/>
          <w:i/>
          <w:noProof/>
        </w:rPr>
        <w:t xml:space="preserve">Journal of Chemical Education. </w:t>
      </w:r>
      <w:r w:rsidRPr="00032BD8">
        <w:rPr>
          <w:rFonts w:ascii="Calibri" w:hAnsi="Calibri" w:cs="Calibri"/>
          <w:noProof/>
        </w:rPr>
        <w:t xml:space="preserve"> </w:t>
      </w:r>
      <w:r w:rsidRPr="00032BD8">
        <w:rPr>
          <w:rFonts w:ascii="Calibri" w:hAnsi="Calibri" w:cs="Calibri"/>
          <w:b/>
          <w:noProof/>
        </w:rPr>
        <w:t>2007</w:t>
      </w:r>
      <w:r w:rsidRPr="00032BD8">
        <w:rPr>
          <w:rFonts w:ascii="Calibri" w:hAnsi="Calibri" w:cs="Calibri"/>
          <w:noProof/>
        </w:rPr>
        <w:t xml:space="preserve">, </w:t>
      </w:r>
      <w:r w:rsidRPr="00032BD8">
        <w:rPr>
          <w:rFonts w:ascii="Calibri" w:hAnsi="Calibri" w:cs="Calibri"/>
          <w:i/>
          <w:noProof/>
        </w:rPr>
        <w:t>84</w:t>
      </w:r>
      <w:r w:rsidRPr="00032BD8">
        <w:rPr>
          <w:rFonts w:ascii="Calibri" w:hAnsi="Calibri" w:cs="Calibri"/>
          <w:noProof/>
        </w:rPr>
        <w:t>, 629.</w:t>
      </w:r>
      <w:bookmarkEnd w:id="1"/>
    </w:p>
    <w:p w:rsidR="00032BD8" w:rsidRDefault="00032BD8" w:rsidP="003B060A">
      <w:pPr>
        <w:spacing w:after="0" w:line="240" w:lineRule="auto"/>
        <w:ind w:left="306" w:hanging="306"/>
        <w:jc w:val="both"/>
        <w:rPr>
          <w:rFonts w:ascii="Calibri" w:hAnsi="Calibri" w:cs="Calibri"/>
          <w:b/>
          <w:noProof/>
        </w:rPr>
      </w:pPr>
    </w:p>
    <w:p w:rsidR="003B060A" w:rsidRDefault="003046DB" w:rsidP="003B060A">
      <w:pPr>
        <w:ind w:left="306" w:hanging="306"/>
      </w:pPr>
      <w:r>
        <w:fldChar w:fldCharType="end"/>
      </w:r>
      <w:r w:rsidR="003B060A" w:rsidRPr="003B060A">
        <w:rPr>
          <w:b/>
        </w:rPr>
        <w:t xml:space="preserve">2. </w:t>
      </w:r>
      <w:r w:rsidR="003B060A">
        <w:t xml:space="preserve"> The choice to make xenon’s 5s orbital a lone pair instead of the 5d</w:t>
      </w:r>
      <w:r w:rsidR="00CD0B95">
        <w:t xml:space="preserve"> is kind of complicated, and</w:t>
      </w:r>
      <w:r w:rsidR="003B060A">
        <w:t xml:space="preserve"> isn’t one you will have to make on your own.  This example doesn’t really work the other way.</w:t>
      </w:r>
      <w:r w:rsidR="00CD0B95">
        <w:t xml:space="preserve">  </w:t>
      </w:r>
    </w:p>
    <w:p w:rsidR="000E4383" w:rsidRPr="003046DB" w:rsidRDefault="000E4383" w:rsidP="00BA52EE">
      <w:pPr>
        <w:jc w:val="both"/>
      </w:pPr>
    </w:p>
    <w:sectPr w:rsidR="000E4383" w:rsidRPr="003046DB" w:rsidSect="00EA68CC">
      <w:headerReference w:type="default" r:id="rId14"/>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219" w:rsidRDefault="00355219" w:rsidP="003D60DA">
      <w:pPr>
        <w:spacing w:after="0" w:line="240" w:lineRule="auto"/>
      </w:pPr>
      <w:r>
        <w:separator/>
      </w:r>
    </w:p>
  </w:endnote>
  <w:endnote w:type="continuationSeparator" w:id="0">
    <w:p w:rsidR="00355219" w:rsidRDefault="00355219" w:rsidP="003D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219" w:rsidRDefault="00355219" w:rsidP="003D60DA">
      <w:pPr>
        <w:spacing w:after="0" w:line="240" w:lineRule="auto"/>
      </w:pPr>
      <w:r>
        <w:separator/>
      </w:r>
    </w:p>
  </w:footnote>
  <w:footnote w:type="continuationSeparator" w:id="0">
    <w:p w:rsidR="00355219" w:rsidRDefault="00355219" w:rsidP="003D6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0DA" w:rsidRPr="00E56972" w:rsidRDefault="003D60DA" w:rsidP="003D60DA">
    <w:pPr>
      <w:pStyle w:val="Header"/>
      <w:jc w:val="both"/>
      <w:rPr>
        <w:color w:val="A6A6A6" w:themeColor="background1" w:themeShade="A6"/>
      </w:rPr>
    </w:pPr>
    <w:r w:rsidRPr="00E56972">
      <w:rPr>
        <w:color w:val="A6A6A6" w:themeColor="background1" w:themeShade="A6"/>
      </w:rPr>
      <w:t xml:space="preserve">Created by Gerard Rowe (gerardr@usca.edu) and posted on </w:t>
    </w:r>
    <w:proofErr w:type="spellStart"/>
    <w:r w:rsidRPr="00E56972">
      <w:rPr>
        <w:color w:val="A6A6A6" w:themeColor="background1" w:themeShade="A6"/>
      </w:rPr>
      <w:t>VIPEr</w:t>
    </w:r>
    <w:proofErr w:type="spellEnd"/>
    <w:r w:rsidRPr="00E56972">
      <w:rPr>
        <w:color w:val="A6A6A6" w:themeColor="background1" w:themeShade="A6"/>
      </w:rPr>
      <w:t xml:space="preserve"> (www.ionicviper.org) on Nov 5, 2013.  Copyright Gerard Rowe 2013.  This work is licensed under the Creative Commons Attribution-</w:t>
    </w:r>
    <w:proofErr w:type="spellStart"/>
    <w:r w:rsidRPr="00E56972">
      <w:rPr>
        <w:color w:val="A6A6A6" w:themeColor="background1" w:themeShade="A6"/>
      </w:rPr>
      <w:t>NonCommerical</w:t>
    </w:r>
    <w:proofErr w:type="spellEnd"/>
    <w:r w:rsidRPr="00E56972">
      <w:rPr>
        <w:color w:val="A6A6A6" w:themeColor="background1" w:themeShade="A6"/>
      </w:rPr>
      <w:t>-</w:t>
    </w:r>
    <w:proofErr w:type="spellStart"/>
    <w:r w:rsidRPr="00E56972">
      <w:rPr>
        <w:color w:val="A6A6A6" w:themeColor="background1" w:themeShade="A6"/>
      </w:rPr>
      <w:t>ShareAlike</w:t>
    </w:r>
    <w:proofErr w:type="spellEnd"/>
    <w:r w:rsidRPr="00E56972">
      <w:rPr>
        <w:color w:val="A6A6A6" w:themeColor="background1" w:themeShade="A6"/>
      </w:rPr>
      <w:t xml:space="preserve"> 3.0 </w:t>
    </w:r>
    <w:proofErr w:type="spellStart"/>
    <w:r w:rsidRPr="00E56972">
      <w:rPr>
        <w:color w:val="A6A6A6" w:themeColor="background1" w:themeShade="A6"/>
      </w:rPr>
      <w:t>Unported</w:t>
    </w:r>
    <w:proofErr w:type="spellEnd"/>
    <w:r w:rsidRPr="00E56972">
      <w:rPr>
        <w:color w:val="A6A6A6" w:themeColor="background1" w:themeShade="A6"/>
      </w:rPr>
      <w:t xml:space="preserve"> License. To view a copy of this license visit http://creativecommons.org/about/license/.</w:t>
    </w:r>
  </w:p>
  <w:p w:rsidR="003D60DA" w:rsidRDefault="003D6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C7C7E"/>
    <w:multiLevelType w:val="hybridMultilevel"/>
    <w:tmpl w:val="6A56CB90"/>
    <w:lvl w:ilvl="0" w:tplc="376A57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95C2E"/>
    <w:multiLevelType w:val="hybridMultilevel"/>
    <w:tmpl w:val="75E8A494"/>
    <w:lvl w:ilvl="0" w:tplc="376A578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Chem Society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5sd2zapxwzdmepswz5x9etpawwapspzaep&quot;&gt;GTR&lt;record-ids&gt;&lt;item&gt;643&lt;/item&gt;&lt;/record-ids&gt;&lt;/item&gt;&lt;/Libraries&gt;"/>
  </w:docVars>
  <w:rsids>
    <w:rsidRoot w:val="00BA52EE"/>
    <w:rsid w:val="00000E95"/>
    <w:rsid w:val="0001043A"/>
    <w:rsid w:val="000174F8"/>
    <w:rsid w:val="000229E5"/>
    <w:rsid w:val="00026ACD"/>
    <w:rsid w:val="000303A5"/>
    <w:rsid w:val="00030F43"/>
    <w:rsid w:val="00032BD8"/>
    <w:rsid w:val="00036B58"/>
    <w:rsid w:val="00061E1E"/>
    <w:rsid w:val="0006252F"/>
    <w:rsid w:val="00074BF9"/>
    <w:rsid w:val="000907E2"/>
    <w:rsid w:val="000A40AC"/>
    <w:rsid w:val="000B1C3A"/>
    <w:rsid w:val="000B63C3"/>
    <w:rsid w:val="000E0E46"/>
    <w:rsid w:val="000E4383"/>
    <w:rsid w:val="000E5537"/>
    <w:rsid w:val="00104574"/>
    <w:rsid w:val="00106AD8"/>
    <w:rsid w:val="001075B4"/>
    <w:rsid w:val="001264ED"/>
    <w:rsid w:val="0013513F"/>
    <w:rsid w:val="00137AD0"/>
    <w:rsid w:val="001402E3"/>
    <w:rsid w:val="00150FBB"/>
    <w:rsid w:val="00156E3C"/>
    <w:rsid w:val="00181EE0"/>
    <w:rsid w:val="0019701C"/>
    <w:rsid w:val="001A1312"/>
    <w:rsid w:val="001B636D"/>
    <w:rsid w:val="001B7856"/>
    <w:rsid w:val="001C7E52"/>
    <w:rsid w:val="001D3FB2"/>
    <w:rsid w:val="001D6072"/>
    <w:rsid w:val="001D74BA"/>
    <w:rsid w:val="002162D8"/>
    <w:rsid w:val="00221495"/>
    <w:rsid w:val="00221FAA"/>
    <w:rsid w:val="0022304A"/>
    <w:rsid w:val="002266A6"/>
    <w:rsid w:val="00230D60"/>
    <w:rsid w:val="00242D48"/>
    <w:rsid w:val="002473BE"/>
    <w:rsid w:val="0025038D"/>
    <w:rsid w:val="00281B54"/>
    <w:rsid w:val="0029673B"/>
    <w:rsid w:val="002A0489"/>
    <w:rsid w:val="002B0C3A"/>
    <w:rsid w:val="002B5C9B"/>
    <w:rsid w:val="002C3ED7"/>
    <w:rsid w:val="002C45CE"/>
    <w:rsid w:val="002C50B4"/>
    <w:rsid w:val="002D549A"/>
    <w:rsid w:val="002D6788"/>
    <w:rsid w:val="00300ACB"/>
    <w:rsid w:val="003046DB"/>
    <w:rsid w:val="0030659A"/>
    <w:rsid w:val="003101ED"/>
    <w:rsid w:val="003106E8"/>
    <w:rsid w:val="00310AD9"/>
    <w:rsid w:val="00314F80"/>
    <w:rsid w:val="00315140"/>
    <w:rsid w:val="00315C36"/>
    <w:rsid w:val="00324BB6"/>
    <w:rsid w:val="003319AB"/>
    <w:rsid w:val="00340F29"/>
    <w:rsid w:val="00355219"/>
    <w:rsid w:val="00362085"/>
    <w:rsid w:val="003666FD"/>
    <w:rsid w:val="00366E2E"/>
    <w:rsid w:val="00383D60"/>
    <w:rsid w:val="003A5CD6"/>
    <w:rsid w:val="003B060A"/>
    <w:rsid w:val="003B4D45"/>
    <w:rsid w:val="003D0C88"/>
    <w:rsid w:val="003D46FC"/>
    <w:rsid w:val="003D60DA"/>
    <w:rsid w:val="003F646F"/>
    <w:rsid w:val="00402F82"/>
    <w:rsid w:val="004035E4"/>
    <w:rsid w:val="0040754F"/>
    <w:rsid w:val="00424659"/>
    <w:rsid w:val="004319BA"/>
    <w:rsid w:val="004401B1"/>
    <w:rsid w:val="00444EB7"/>
    <w:rsid w:val="00454582"/>
    <w:rsid w:val="0046057B"/>
    <w:rsid w:val="00462A42"/>
    <w:rsid w:val="00471ECA"/>
    <w:rsid w:val="004722CA"/>
    <w:rsid w:val="00484CC9"/>
    <w:rsid w:val="004857E1"/>
    <w:rsid w:val="004921ED"/>
    <w:rsid w:val="004A569D"/>
    <w:rsid w:val="004B19D3"/>
    <w:rsid w:val="004B5B62"/>
    <w:rsid w:val="004B7E00"/>
    <w:rsid w:val="004C3A79"/>
    <w:rsid w:val="004C5FEC"/>
    <w:rsid w:val="004D1775"/>
    <w:rsid w:val="004E7427"/>
    <w:rsid w:val="00502E58"/>
    <w:rsid w:val="00525709"/>
    <w:rsid w:val="005377B1"/>
    <w:rsid w:val="005431A9"/>
    <w:rsid w:val="00552AE7"/>
    <w:rsid w:val="00555D64"/>
    <w:rsid w:val="00572865"/>
    <w:rsid w:val="005908AD"/>
    <w:rsid w:val="00591197"/>
    <w:rsid w:val="00596818"/>
    <w:rsid w:val="005A6B64"/>
    <w:rsid w:val="005B1020"/>
    <w:rsid w:val="005C15EC"/>
    <w:rsid w:val="005D3801"/>
    <w:rsid w:val="005E3173"/>
    <w:rsid w:val="006038EB"/>
    <w:rsid w:val="0060798E"/>
    <w:rsid w:val="00607B6E"/>
    <w:rsid w:val="00616187"/>
    <w:rsid w:val="00620505"/>
    <w:rsid w:val="00634149"/>
    <w:rsid w:val="0064114D"/>
    <w:rsid w:val="00645279"/>
    <w:rsid w:val="00652F67"/>
    <w:rsid w:val="0066330B"/>
    <w:rsid w:val="0066454F"/>
    <w:rsid w:val="00667BFD"/>
    <w:rsid w:val="00674782"/>
    <w:rsid w:val="00675E3A"/>
    <w:rsid w:val="006855AB"/>
    <w:rsid w:val="00691B9B"/>
    <w:rsid w:val="00693C44"/>
    <w:rsid w:val="0069606B"/>
    <w:rsid w:val="006A6861"/>
    <w:rsid w:val="006B129A"/>
    <w:rsid w:val="006C0D90"/>
    <w:rsid w:val="006C1825"/>
    <w:rsid w:val="006C1D05"/>
    <w:rsid w:val="006C4266"/>
    <w:rsid w:val="006C6515"/>
    <w:rsid w:val="006E3192"/>
    <w:rsid w:val="006F1C35"/>
    <w:rsid w:val="007073ED"/>
    <w:rsid w:val="007078CA"/>
    <w:rsid w:val="0073646B"/>
    <w:rsid w:val="007470C4"/>
    <w:rsid w:val="00757257"/>
    <w:rsid w:val="00760EA7"/>
    <w:rsid w:val="007720AC"/>
    <w:rsid w:val="00775B8C"/>
    <w:rsid w:val="0077787F"/>
    <w:rsid w:val="0078063D"/>
    <w:rsid w:val="00796A09"/>
    <w:rsid w:val="007A100C"/>
    <w:rsid w:val="007B14F9"/>
    <w:rsid w:val="007C2729"/>
    <w:rsid w:val="007D0A94"/>
    <w:rsid w:val="007E7400"/>
    <w:rsid w:val="007E7F43"/>
    <w:rsid w:val="007F7B8F"/>
    <w:rsid w:val="00800D74"/>
    <w:rsid w:val="008047D3"/>
    <w:rsid w:val="008150AF"/>
    <w:rsid w:val="00817B9A"/>
    <w:rsid w:val="0082241D"/>
    <w:rsid w:val="00824DBF"/>
    <w:rsid w:val="00824F7A"/>
    <w:rsid w:val="00827FE7"/>
    <w:rsid w:val="00830816"/>
    <w:rsid w:val="008316F8"/>
    <w:rsid w:val="0083556F"/>
    <w:rsid w:val="0083661F"/>
    <w:rsid w:val="008560A3"/>
    <w:rsid w:val="008630B6"/>
    <w:rsid w:val="00865FE5"/>
    <w:rsid w:val="00867BCC"/>
    <w:rsid w:val="00887989"/>
    <w:rsid w:val="008A2511"/>
    <w:rsid w:val="008A2BF0"/>
    <w:rsid w:val="008A6371"/>
    <w:rsid w:val="008A7847"/>
    <w:rsid w:val="008B27BB"/>
    <w:rsid w:val="008B712C"/>
    <w:rsid w:val="008C03FF"/>
    <w:rsid w:val="008C7B1B"/>
    <w:rsid w:val="008C7C2B"/>
    <w:rsid w:val="008D0FF4"/>
    <w:rsid w:val="008D38C2"/>
    <w:rsid w:val="008D5775"/>
    <w:rsid w:val="008D7BE1"/>
    <w:rsid w:val="008E2507"/>
    <w:rsid w:val="008E6AA9"/>
    <w:rsid w:val="008E78AD"/>
    <w:rsid w:val="009033B9"/>
    <w:rsid w:val="0092798D"/>
    <w:rsid w:val="009328E7"/>
    <w:rsid w:val="009358D5"/>
    <w:rsid w:val="00945A9B"/>
    <w:rsid w:val="00947135"/>
    <w:rsid w:val="009534A6"/>
    <w:rsid w:val="00961AAA"/>
    <w:rsid w:val="0096312C"/>
    <w:rsid w:val="00965C53"/>
    <w:rsid w:val="00965DC7"/>
    <w:rsid w:val="00967D14"/>
    <w:rsid w:val="00976507"/>
    <w:rsid w:val="00980EE2"/>
    <w:rsid w:val="0098324B"/>
    <w:rsid w:val="0098789D"/>
    <w:rsid w:val="00992080"/>
    <w:rsid w:val="009A42EC"/>
    <w:rsid w:val="009A7D87"/>
    <w:rsid w:val="009C1038"/>
    <w:rsid w:val="009C7DA5"/>
    <w:rsid w:val="009D74A3"/>
    <w:rsid w:val="009E3265"/>
    <w:rsid w:val="009E509C"/>
    <w:rsid w:val="009E7F27"/>
    <w:rsid w:val="009F055F"/>
    <w:rsid w:val="009F450F"/>
    <w:rsid w:val="00A00AC9"/>
    <w:rsid w:val="00A05B7B"/>
    <w:rsid w:val="00A06A86"/>
    <w:rsid w:val="00A22F8E"/>
    <w:rsid w:val="00A324F6"/>
    <w:rsid w:val="00A407A2"/>
    <w:rsid w:val="00A4142E"/>
    <w:rsid w:val="00A44154"/>
    <w:rsid w:val="00A4580A"/>
    <w:rsid w:val="00A532D9"/>
    <w:rsid w:val="00A54C9F"/>
    <w:rsid w:val="00A55F36"/>
    <w:rsid w:val="00A70E55"/>
    <w:rsid w:val="00AA0820"/>
    <w:rsid w:val="00AA24A9"/>
    <w:rsid w:val="00AB7E9F"/>
    <w:rsid w:val="00AC3D0B"/>
    <w:rsid w:val="00AD28E1"/>
    <w:rsid w:val="00AD5580"/>
    <w:rsid w:val="00AD7E38"/>
    <w:rsid w:val="00B00215"/>
    <w:rsid w:val="00B020EA"/>
    <w:rsid w:val="00B16C93"/>
    <w:rsid w:val="00B31D09"/>
    <w:rsid w:val="00B344F4"/>
    <w:rsid w:val="00B460E3"/>
    <w:rsid w:val="00B52240"/>
    <w:rsid w:val="00B6703B"/>
    <w:rsid w:val="00B73421"/>
    <w:rsid w:val="00B75ED4"/>
    <w:rsid w:val="00B800FE"/>
    <w:rsid w:val="00B965CC"/>
    <w:rsid w:val="00BA52EE"/>
    <w:rsid w:val="00BA5AD8"/>
    <w:rsid w:val="00BB3B07"/>
    <w:rsid w:val="00BB4F0D"/>
    <w:rsid w:val="00BB595E"/>
    <w:rsid w:val="00BB6209"/>
    <w:rsid w:val="00BC2FCF"/>
    <w:rsid w:val="00BC3052"/>
    <w:rsid w:val="00BC5E6E"/>
    <w:rsid w:val="00BE13B0"/>
    <w:rsid w:val="00BE3B81"/>
    <w:rsid w:val="00BE77DD"/>
    <w:rsid w:val="00BE78F9"/>
    <w:rsid w:val="00C01B2A"/>
    <w:rsid w:val="00C02649"/>
    <w:rsid w:val="00C10732"/>
    <w:rsid w:val="00C12BA2"/>
    <w:rsid w:val="00C14B97"/>
    <w:rsid w:val="00C15D05"/>
    <w:rsid w:val="00C17565"/>
    <w:rsid w:val="00C2224C"/>
    <w:rsid w:val="00C337AC"/>
    <w:rsid w:val="00C33896"/>
    <w:rsid w:val="00C347CE"/>
    <w:rsid w:val="00C40DAB"/>
    <w:rsid w:val="00C431BD"/>
    <w:rsid w:val="00C43722"/>
    <w:rsid w:val="00C456F9"/>
    <w:rsid w:val="00C50E1F"/>
    <w:rsid w:val="00C51382"/>
    <w:rsid w:val="00C52356"/>
    <w:rsid w:val="00C52825"/>
    <w:rsid w:val="00C63C0A"/>
    <w:rsid w:val="00C651A5"/>
    <w:rsid w:val="00C7681A"/>
    <w:rsid w:val="00C82942"/>
    <w:rsid w:val="00C864FA"/>
    <w:rsid w:val="00C91C3F"/>
    <w:rsid w:val="00C949A1"/>
    <w:rsid w:val="00CC6067"/>
    <w:rsid w:val="00CD0B95"/>
    <w:rsid w:val="00CD0CF9"/>
    <w:rsid w:val="00CD0DAF"/>
    <w:rsid w:val="00CD1E06"/>
    <w:rsid w:val="00CD38C7"/>
    <w:rsid w:val="00CD4662"/>
    <w:rsid w:val="00CD7947"/>
    <w:rsid w:val="00CE6262"/>
    <w:rsid w:val="00CE7514"/>
    <w:rsid w:val="00D012AA"/>
    <w:rsid w:val="00D12CF2"/>
    <w:rsid w:val="00D27D71"/>
    <w:rsid w:val="00D415AE"/>
    <w:rsid w:val="00D43783"/>
    <w:rsid w:val="00D543F4"/>
    <w:rsid w:val="00D56883"/>
    <w:rsid w:val="00D63EAC"/>
    <w:rsid w:val="00D756D8"/>
    <w:rsid w:val="00D762E0"/>
    <w:rsid w:val="00D8402F"/>
    <w:rsid w:val="00D87267"/>
    <w:rsid w:val="00D96CBD"/>
    <w:rsid w:val="00DA2DFE"/>
    <w:rsid w:val="00DA30B2"/>
    <w:rsid w:val="00DA5DC1"/>
    <w:rsid w:val="00DA7C3E"/>
    <w:rsid w:val="00DB6AE0"/>
    <w:rsid w:val="00DC4293"/>
    <w:rsid w:val="00DD1AF7"/>
    <w:rsid w:val="00DD265E"/>
    <w:rsid w:val="00DD2D89"/>
    <w:rsid w:val="00DD3FEB"/>
    <w:rsid w:val="00DD4E5F"/>
    <w:rsid w:val="00DD559E"/>
    <w:rsid w:val="00DD74FE"/>
    <w:rsid w:val="00DE0AAD"/>
    <w:rsid w:val="00DE1560"/>
    <w:rsid w:val="00DE5A82"/>
    <w:rsid w:val="00DE624C"/>
    <w:rsid w:val="00DF105D"/>
    <w:rsid w:val="00E06327"/>
    <w:rsid w:val="00E06A67"/>
    <w:rsid w:val="00E10E24"/>
    <w:rsid w:val="00E25C4A"/>
    <w:rsid w:val="00E26E18"/>
    <w:rsid w:val="00E3078B"/>
    <w:rsid w:val="00E56972"/>
    <w:rsid w:val="00E745AB"/>
    <w:rsid w:val="00E773BC"/>
    <w:rsid w:val="00E857D7"/>
    <w:rsid w:val="00EA312C"/>
    <w:rsid w:val="00EA3EA8"/>
    <w:rsid w:val="00EA68CC"/>
    <w:rsid w:val="00EC67F6"/>
    <w:rsid w:val="00ED49FC"/>
    <w:rsid w:val="00EE38EF"/>
    <w:rsid w:val="00EF1448"/>
    <w:rsid w:val="00F01966"/>
    <w:rsid w:val="00F03A1B"/>
    <w:rsid w:val="00F04A64"/>
    <w:rsid w:val="00F2673B"/>
    <w:rsid w:val="00F276B6"/>
    <w:rsid w:val="00F36523"/>
    <w:rsid w:val="00F36B06"/>
    <w:rsid w:val="00F44C19"/>
    <w:rsid w:val="00F65028"/>
    <w:rsid w:val="00F66231"/>
    <w:rsid w:val="00F67BA6"/>
    <w:rsid w:val="00F71EE0"/>
    <w:rsid w:val="00F84C15"/>
    <w:rsid w:val="00F92268"/>
    <w:rsid w:val="00F9707D"/>
    <w:rsid w:val="00FB1F66"/>
    <w:rsid w:val="00FC1128"/>
    <w:rsid w:val="00FC5828"/>
    <w:rsid w:val="00FC5ED8"/>
    <w:rsid w:val="00FD14DD"/>
    <w:rsid w:val="00FE022E"/>
    <w:rsid w:val="00FF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BB4967-2604-4005-98B6-DA870E9A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856"/>
    <w:rPr>
      <w:rFonts w:ascii="Tahoma" w:hAnsi="Tahoma" w:cs="Tahoma"/>
      <w:sz w:val="16"/>
      <w:szCs w:val="16"/>
    </w:rPr>
  </w:style>
  <w:style w:type="character" w:styleId="Hyperlink">
    <w:name w:val="Hyperlink"/>
    <w:basedOn w:val="DefaultParagraphFont"/>
    <w:uiPriority w:val="99"/>
    <w:unhideWhenUsed/>
    <w:rsid w:val="003046DB"/>
    <w:rPr>
      <w:color w:val="0000FF" w:themeColor="hyperlink"/>
      <w:u w:val="single"/>
    </w:rPr>
  </w:style>
  <w:style w:type="paragraph" w:styleId="ListParagraph">
    <w:name w:val="List Paragraph"/>
    <w:basedOn w:val="Normal"/>
    <w:uiPriority w:val="34"/>
    <w:qFormat/>
    <w:rsid w:val="007720AC"/>
    <w:pPr>
      <w:ind w:left="720"/>
      <w:contextualSpacing/>
    </w:pPr>
  </w:style>
  <w:style w:type="character" w:styleId="PlaceholderText">
    <w:name w:val="Placeholder Text"/>
    <w:basedOn w:val="DefaultParagraphFont"/>
    <w:uiPriority w:val="99"/>
    <w:semiHidden/>
    <w:rsid w:val="00555D64"/>
    <w:rPr>
      <w:color w:val="808080"/>
    </w:rPr>
  </w:style>
  <w:style w:type="table" w:styleId="TableGrid">
    <w:name w:val="Table Grid"/>
    <w:basedOn w:val="TableNormal"/>
    <w:uiPriority w:val="59"/>
    <w:rsid w:val="008A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6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DA"/>
  </w:style>
  <w:style w:type="paragraph" w:styleId="Footer">
    <w:name w:val="footer"/>
    <w:basedOn w:val="Normal"/>
    <w:link w:val="FooterChar"/>
    <w:uiPriority w:val="99"/>
    <w:unhideWhenUsed/>
    <w:rsid w:val="003D6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 Aiken</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 Rowe</dc:creator>
  <cp:lastModifiedBy>Gerard Rowe</cp:lastModifiedBy>
  <cp:revision>6</cp:revision>
  <cp:lastPrinted>2013-11-06T13:48:00Z</cp:lastPrinted>
  <dcterms:created xsi:type="dcterms:W3CDTF">2013-11-05T13:44:00Z</dcterms:created>
  <dcterms:modified xsi:type="dcterms:W3CDTF">2013-11-06T13:49:00Z</dcterms:modified>
</cp:coreProperties>
</file>