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D281A9D" w:rsidR="006C39EE" w:rsidRDefault="00F101BB">
      <w:pPr>
        <w:pBdr>
          <w:top w:val="nil"/>
          <w:left w:val="nil"/>
          <w:bottom w:val="nil"/>
          <w:right w:val="nil"/>
          <w:between w:val="nil"/>
        </w:pBdr>
        <w:spacing w:before="240" w:line="261" w:lineRule="auto"/>
        <w:jc w:val="both"/>
        <w:rPr>
          <w:b/>
          <w:color w:val="000000"/>
        </w:rPr>
      </w:pPr>
      <w:bookmarkStart w:id="0" w:name="_heading=h.gjdgxs" w:colFirst="0" w:colLast="0"/>
      <w:bookmarkEnd w:id="0"/>
      <w:r>
        <w:rPr>
          <w:b/>
          <w:color w:val="000000"/>
        </w:rPr>
        <w:t>UPDATED DISCUSSION QUESTIONS</w:t>
      </w:r>
      <w:bookmarkStart w:id="1" w:name="_GoBack"/>
      <w:bookmarkEnd w:id="1"/>
    </w:p>
    <w:p w14:paraId="00000002" w14:textId="77777777" w:rsidR="006C39EE" w:rsidRDefault="00F101BB">
      <w:pPr>
        <w:pBdr>
          <w:top w:val="nil"/>
          <w:left w:val="nil"/>
          <w:bottom w:val="nil"/>
          <w:right w:val="nil"/>
          <w:between w:val="nil"/>
        </w:pBdr>
        <w:spacing w:before="240" w:line="261" w:lineRule="auto"/>
        <w:ind w:left="360"/>
        <w:jc w:val="both"/>
        <w:rPr>
          <w:color w:val="000000"/>
        </w:rPr>
      </w:pPr>
      <w:r>
        <w:rPr>
          <w:color w:val="000000"/>
        </w:rPr>
        <w:t>1.  Explain how the information in Table 2 results in the formula LaGaBi</w:t>
      </w:r>
      <w:r>
        <w:rPr>
          <w:color w:val="000000"/>
          <w:vertAlign w:val="subscript"/>
        </w:rPr>
        <w:t>2</w:t>
      </w:r>
      <w:r>
        <w:rPr>
          <w:color w:val="000000"/>
        </w:rPr>
        <w:t xml:space="preserve"> rather than LaGaBi</w:t>
      </w:r>
      <w:r>
        <w:rPr>
          <w:color w:val="000000"/>
          <w:vertAlign w:val="subscript"/>
        </w:rPr>
        <w:t>4</w:t>
      </w:r>
      <w:r>
        <w:rPr>
          <w:color w:val="000000"/>
        </w:rPr>
        <w:t>.  How many formula units are contained within the unit cell? You may use VESTA (a free downloadable software to create 3D structures) to visualize the crystal structure using the information from tables 1 and 2. (</w:t>
      </w:r>
      <w:hyperlink r:id="rId8">
        <w:r>
          <w:rPr>
            <w:color w:val="1155CC"/>
            <w:u w:val="single"/>
          </w:rPr>
          <w:t>https://jp-minerals.org/vesta/en/</w:t>
        </w:r>
      </w:hyperlink>
      <w:r>
        <w:rPr>
          <w:color w:val="000000"/>
        </w:rPr>
        <w:t>)</w:t>
      </w:r>
    </w:p>
    <w:p w14:paraId="00000006" w14:textId="77777777" w:rsidR="006C39EE" w:rsidRDefault="00F101BB">
      <w:pPr>
        <w:pBdr>
          <w:top w:val="nil"/>
          <w:left w:val="nil"/>
          <w:bottom w:val="nil"/>
          <w:right w:val="nil"/>
          <w:between w:val="nil"/>
        </w:pBdr>
        <w:spacing w:before="240" w:line="261" w:lineRule="auto"/>
        <w:ind w:left="360"/>
        <w:jc w:val="both"/>
        <w:rPr>
          <w:color w:val="000000"/>
        </w:rPr>
      </w:pPr>
      <w:r>
        <w:rPr>
          <w:color w:val="000000"/>
        </w:rPr>
        <w:t xml:space="preserve">2.  The most important results of the band structure calculations are presented in Figure 7.  </w:t>
      </w:r>
    </w:p>
    <w:p w14:paraId="00000007" w14:textId="77777777" w:rsidR="006C39EE" w:rsidRDefault="00F101BB">
      <w:pPr>
        <w:pBdr>
          <w:top w:val="nil"/>
          <w:left w:val="nil"/>
          <w:bottom w:val="nil"/>
          <w:right w:val="nil"/>
          <w:between w:val="nil"/>
        </w:pBdr>
        <w:spacing w:before="240" w:line="261" w:lineRule="auto"/>
        <w:ind w:left="720"/>
        <w:jc w:val="both"/>
        <w:rPr>
          <w:color w:val="000000"/>
        </w:rPr>
      </w:pPr>
      <w:r>
        <w:rPr>
          <w:color w:val="000000"/>
        </w:rPr>
        <w:t>(a) Explain why this figure only considers the [Ga</w:t>
      </w:r>
      <w:r>
        <w:rPr>
          <w:color w:val="000000"/>
          <w:vertAlign w:val="subscript"/>
        </w:rPr>
        <w:t>6</w:t>
      </w:r>
      <w:r>
        <w:rPr>
          <w:color w:val="000000"/>
        </w:rPr>
        <w:t>Bi</w:t>
      </w:r>
      <w:r>
        <w:rPr>
          <w:color w:val="000000"/>
          <w:vertAlign w:val="subscript"/>
        </w:rPr>
        <w:t>12</w:t>
      </w:r>
      <w:r>
        <w:rPr>
          <w:color w:val="000000"/>
        </w:rPr>
        <w:t>]</w:t>
      </w:r>
      <w:r>
        <w:rPr>
          <w:color w:val="000000"/>
          <w:vertAlign w:val="superscript"/>
        </w:rPr>
        <w:t>18–</w:t>
      </w:r>
      <w:r>
        <w:rPr>
          <w:color w:val="000000"/>
        </w:rPr>
        <w:t xml:space="preserve"> substructure. </w:t>
      </w:r>
      <w:r>
        <w:t>What is the justification for omitting lanthanum from this substructure?</w:t>
      </w:r>
    </w:p>
    <w:p w14:paraId="0000000D" w14:textId="1B09A250" w:rsidR="006C39EE" w:rsidRPr="00295E7F" w:rsidRDefault="00F101BB" w:rsidP="00295E7F">
      <w:pPr>
        <w:pBdr>
          <w:top w:val="nil"/>
          <w:left w:val="nil"/>
          <w:bottom w:val="nil"/>
          <w:right w:val="nil"/>
          <w:between w:val="nil"/>
        </w:pBdr>
        <w:spacing w:before="240" w:line="261" w:lineRule="auto"/>
        <w:ind w:left="720"/>
        <w:jc w:val="both"/>
        <w:rPr>
          <w:color w:val="000000"/>
        </w:rPr>
      </w:pPr>
      <w:r>
        <w:rPr>
          <w:color w:val="000000"/>
        </w:rPr>
        <w:t>(b) Summarize the conclusions about Ga–Ga bonding in this material including the evidence from Figure 7 and bond distances.</w:t>
      </w:r>
    </w:p>
    <w:p w14:paraId="0000000E" w14:textId="77777777" w:rsidR="006C39EE" w:rsidRDefault="00F101BB">
      <w:pPr>
        <w:pBdr>
          <w:top w:val="nil"/>
          <w:left w:val="nil"/>
          <w:bottom w:val="nil"/>
          <w:right w:val="nil"/>
          <w:between w:val="nil"/>
        </w:pBdr>
        <w:spacing w:before="240" w:line="261" w:lineRule="auto"/>
        <w:ind w:left="720"/>
        <w:jc w:val="both"/>
        <w:rPr>
          <w:color w:val="000000"/>
        </w:rPr>
      </w:pPr>
      <w:r>
        <w:rPr>
          <w:color w:val="000000"/>
        </w:rPr>
        <w:t>(c) Describe the conclusions about Ga–Bi bonding in this material.  Be sure to discuss each type of bismuth, explaining how Figure 7 supports the argument.</w:t>
      </w:r>
    </w:p>
    <w:p w14:paraId="00000012" w14:textId="54CAC621" w:rsidR="006C39EE" w:rsidRDefault="00F101BB">
      <w:pPr>
        <w:pBdr>
          <w:top w:val="nil"/>
          <w:left w:val="nil"/>
          <w:bottom w:val="nil"/>
          <w:right w:val="nil"/>
          <w:between w:val="nil"/>
        </w:pBdr>
        <w:spacing w:before="240" w:line="261" w:lineRule="auto"/>
        <w:ind w:left="720"/>
        <w:jc w:val="both"/>
        <w:rPr>
          <w:color w:val="000000"/>
        </w:rPr>
      </w:pPr>
      <w:r>
        <w:rPr>
          <w:color w:val="000000"/>
        </w:rPr>
        <w:t>(d) Explain using any relevant bond distances or figures from the paper why the Bi–Bi bond is strengthened when the [Bi</w:t>
      </w:r>
      <w:r>
        <w:rPr>
          <w:color w:val="000000"/>
          <w:vertAlign w:val="subscript"/>
        </w:rPr>
        <w:t>3</w:t>
      </w:r>
      <w:r>
        <w:rPr>
          <w:color w:val="000000"/>
        </w:rPr>
        <w:t>] ribbons are involved in the entire covalent framework.</w:t>
      </w:r>
    </w:p>
    <w:p w14:paraId="00000017" w14:textId="021FB9D5" w:rsidR="006C39EE" w:rsidRDefault="00F101BB" w:rsidP="00295E7F">
      <w:pPr>
        <w:pBdr>
          <w:top w:val="nil"/>
          <w:left w:val="nil"/>
          <w:bottom w:val="nil"/>
          <w:right w:val="nil"/>
          <w:between w:val="nil"/>
        </w:pBdr>
        <w:spacing w:before="240" w:line="261" w:lineRule="auto"/>
        <w:ind w:left="360"/>
        <w:jc w:val="both"/>
        <w:rPr>
          <w:color w:val="FF0000"/>
        </w:rPr>
      </w:pPr>
      <w:r>
        <w:rPr>
          <w:color w:val="000000"/>
        </w:rPr>
        <w:t>3.  Explain the basic idea behind X-ray Photoe</w:t>
      </w:r>
      <w:r>
        <w:rPr>
          <w:color w:val="000000"/>
        </w:rPr>
        <w:t xml:space="preserve">lectron Spectroscopy (XPS).  How does it work?  Why do you think the authors conducted XPS studies on this material?  What were they trying to learn?  What conclusions did they draw from the XPS data? Cite your reference. </w:t>
      </w:r>
    </w:p>
    <w:p w14:paraId="00000018" w14:textId="77777777" w:rsidR="006C39EE" w:rsidRDefault="00F101BB">
      <w:pPr>
        <w:pBdr>
          <w:top w:val="nil"/>
          <w:left w:val="nil"/>
          <w:bottom w:val="nil"/>
          <w:right w:val="nil"/>
          <w:between w:val="nil"/>
        </w:pBdr>
        <w:spacing w:before="240"/>
        <w:ind w:left="284"/>
        <w:jc w:val="both"/>
        <w:rPr>
          <w:color w:val="000000"/>
        </w:rPr>
      </w:pPr>
      <w:r>
        <w:rPr>
          <w:color w:val="000000"/>
        </w:rPr>
        <w:t>4. Based on the temperature-dependent resistivity plot (figure 8), how would you classify the electronic nature of LaGaBi</w:t>
      </w:r>
      <w:r>
        <w:rPr>
          <w:color w:val="000000"/>
          <w:vertAlign w:val="subscript"/>
        </w:rPr>
        <w:t>2</w:t>
      </w:r>
      <w:r>
        <w:rPr>
          <w:color w:val="000000"/>
        </w:rPr>
        <w:t>? (insulating, semiconducting, or metallic). How does this relate to the density of states in Fig.</w:t>
      </w:r>
      <w:r>
        <w:rPr>
          <w:color w:val="000000"/>
        </w:rPr>
        <w:t xml:space="preserve"> 7a.    </w:t>
      </w:r>
    </w:p>
    <w:p w14:paraId="00000019" w14:textId="77777777" w:rsidR="006C39EE" w:rsidRDefault="006C39EE">
      <w:pPr>
        <w:pBdr>
          <w:top w:val="nil"/>
          <w:left w:val="nil"/>
          <w:bottom w:val="nil"/>
          <w:right w:val="nil"/>
          <w:between w:val="nil"/>
        </w:pBdr>
        <w:ind w:left="284"/>
        <w:jc w:val="both"/>
        <w:rPr>
          <w:color w:val="000000"/>
        </w:rPr>
      </w:pPr>
    </w:p>
    <w:p w14:paraId="0000001A" w14:textId="1628CBB1" w:rsidR="006C39EE" w:rsidRDefault="006C39EE">
      <w:pPr>
        <w:pBdr>
          <w:top w:val="nil"/>
          <w:left w:val="nil"/>
          <w:bottom w:val="nil"/>
          <w:right w:val="nil"/>
          <w:between w:val="nil"/>
        </w:pBdr>
        <w:ind w:left="284"/>
        <w:jc w:val="both"/>
        <w:rPr>
          <w:color w:val="000000"/>
        </w:rPr>
      </w:pPr>
    </w:p>
    <w:sectPr w:rsidR="006C39E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758F0" w14:textId="77777777" w:rsidR="00000000" w:rsidRDefault="00F101BB">
      <w:pPr>
        <w:spacing w:line="240" w:lineRule="auto"/>
      </w:pPr>
      <w:r>
        <w:separator/>
      </w:r>
    </w:p>
  </w:endnote>
  <w:endnote w:type="continuationSeparator" w:id="0">
    <w:p w14:paraId="0F058EDC" w14:textId="77777777" w:rsidR="00000000" w:rsidRDefault="00F101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6F87" w14:textId="77777777" w:rsidR="00000000" w:rsidRDefault="00F101BB">
      <w:pPr>
        <w:spacing w:line="240" w:lineRule="auto"/>
      </w:pPr>
      <w:r>
        <w:separator/>
      </w:r>
    </w:p>
  </w:footnote>
  <w:footnote w:type="continuationSeparator" w:id="0">
    <w:p w14:paraId="15D9DBD9" w14:textId="77777777" w:rsidR="00000000" w:rsidRDefault="00F101B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B" w14:textId="77777777" w:rsidR="006C39EE" w:rsidRDefault="00F101BB">
    <w:pPr>
      <w:spacing w:line="240" w:lineRule="auto"/>
      <w:rPr>
        <w:rFonts w:ascii="Times" w:eastAsia="Times" w:hAnsi="Times" w:cs="Times"/>
        <w:sz w:val="20"/>
        <w:szCs w:val="20"/>
      </w:rPr>
    </w:pPr>
    <w:r>
      <w:rPr>
        <w:color w:val="000000"/>
        <w:sz w:val="20"/>
        <w:szCs w:val="20"/>
      </w:rPr>
      <w:t xml:space="preserve">Created by Mae Joanne Aguila (mbaguila@up.edu.ph), Melissa Orr </w:t>
    </w:r>
    <w:r>
      <w:rPr>
        <w:sz w:val="20"/>
        <w:szCs w:val="20"/>
      </w:rPr>
      <w:t>(melissa.orr@mavs.uta.edu)</w:t>
    </w:r>
    <w:r>
      <w:rPr>
        <w:color w:val="000000"/>
        <w:sz w:val="20"/>
        <w:szCs w:val="20"/>
      </w:rPr>
      <w:t>, Joyce Pham (Joyce.Pham@csusb.edu), Kulatheepan Thanabalasingam (k</w:t>
    </w:r>
    <w:r>
      <w:rPr>
        <w:sz w:val="20"/>
        <w:szCs w:val="20"/>
      </w:rPr>
      <w:t>u</w:t>
    </w:r>
    <w:r>
      <w:rPr>
        <w:color w:val="000000"/>
        <w:sz w:val="20"/>
        <w:szCs w:val="20"/>
      </w:rPr>
      <w:t>latheepan.thanabalasingam@utdallas.edu), Dani Arias-Rotondo (</w:t>
    </w:r>
    <w:hyperlink r:id="rId1">
      <w:r>
        <w:rPr>
          <w:color w:val="0000FF"/>
          <w:sz w:val="20"/>
          <w:szCs w:val="20"/>
          <w:u w:val="single"/>
        </w:rPr>
        <w:t>dariasr@kzoo.edu</w:t>
      </w:r>
    </w:hyperlink>
    <w:r>
      <w:rPr>
        <w:color w:val="000000"/>
        <w:sz w:val="20"/>
        <w:szCs w:val="20"/>
      </w:rPr>
      <w:t>), Mitch Anstey (</w:t>
    </w:r>
    <w:hyperlink r:id="rId2">
      <w:r>
        <w:rPr>
          <w:color w:val="0000FF"/>
          <w:sz w:val="20"/>
          <w:szCs w:val="20"/>
          <w:u w:val="single"/>
        </w:rPr>
        <w:t>Mitch.anstey@davidson.edu</w:t>
      </w:r>
    </w:hyperlink>
    <w:r>
      <w:rPr>
        <w:color w:val="000000"/>
        <w:sz w:val="20"/>
        <w:szCs w:val="20"/>
      </w:rPr>
      <w:t>), and Jan Philip Scheifers (janphilip.scheifers@utdallas.edu) and posted on VIPEr (</w:t>
    </w:r>
    <w:hyperlink r:id="rId3">
      <w:r>
        <w:rPr>
          <w:color w:val="0000FF"/>
          <w:sz w:val="20"/>
          <w:szCs w:val="20"/>
          <w:u w:val="single"/>
        </w:rPr>
        <w:t>www.ionicviper.org</w:t>
      </w:r>
    </w:hyperlink>
    <w:r>
      <w:rPr>
        <w:color w:val="000000"/>
        <w:sz w:val="20"/>
        <w:szCs w:val="20"/>
      </w:rPr>
      <w:t>) on Aug 5th 2021.  Copyright Mae Joanne Aguila, Melissa Orr, Joyce Pham, Kulatheepan Thanabalasingam, Daniela Arias-Rotondo, Mitchell Anstey, and Jan Philip Scheifers 2021.  This work is licensed under the Creative Commons Attribution-No</w:t>
    </w:r>
    <w:r>
      <w:rPr>
        <w:color w:val="000000"/>
        <w:sz w:val="20"/>
        <w:szCs w:val="20"/>
      </w:rPr>
      <w:t>nCommerical-ShareAlike</w:t>
    </w:r>
    <w:r>
      <w:rPr>
        <w:rFonts w:ascii="Times" w:eastAsia="Times" w:hAnsi="Times" w:cs="Times"/>
        <w:color w:val="000000"/>
        <w:sz w:val="24"/>
        <w:szCs w:val="24"/>
      </w:rPr>
      <w:t xml:space="preserve"> </w:t>
    </w:r>
    <w:r>
      <w:rPr>
        <w:color w:val="000000"/>
        <w:sz w:val="20"/>
        <w:szCs w:val="20"/>
      </w:rPr>
      <w:t xml:space="preserve">License. To view a copy of this license visit </w:t>
    </w:r>
    <w:hyperlink r:id="rId4">
      <w:r>
        <w:rPr>
          <w:color w:val="0000FF"/>
          <w:sz w:val="20"/>
          <w:szCs w:val="20"/>
          <w:u w:val="single"/>
        </w:rPr>
        <w:t>http://creativecommons.org/about/license/</w:t>
      </w:r>
    </w:hyperlink>
    <w:r>
      <w:rPr>
        <w:color w:val="000000"/>
        <w:sz w:val="20"/>
        <w:szCs w:val="20"/>
      </w:rPr>
      <w:t>.</w:t>
    </w:r>
  </w:p>
  <w:p w14:paraId="0000001C" w14:textId="77777777" w:rsidR="006C39EE" w:rsidRDefault="006C39EE">
    <w:pPr>
      <w:pBdr>
        <w:top w:val="nil"/>
        <w:left w:val="nil"/>
        <w:bottom w:val="nil"/>
        <w:right w:val="nil"/>
        <w:between w:val="nil"/>
      </w:pBdr>
      <w:tabs>
        <w:tab w:val="center" w:pos="4320"/>
        <w:tab w:val="right" w:pos="864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C39EE"/>
    <w:rsid w:val="00295E7F"/>
    <w:rsid w:val="006C39EE"/>
    <w:rsid w:val="008351A1"/>
    <w:rsid w:val="00CD6917"/>
    <w:rsid w:val="00F101BB"/>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0">
    <w:name w:val="normal"/>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EF617E"/>
    <w:pPr>
      <w:tabs>
        <w:tab w:val="center" w:pos="4320"/>
        <w:tab w:val="right" w:pos="8640"/>
      </w:tabs>
      <w:spacing w:line="240" w:lineRule="auto"/>
    </w:pPr>
  </w:style>
  <w:style w:type="character" w:customStyle="1" w:styleId="HeaderChar">
    <w:name w:val="Header Char"/>
    <w:basedOn w:val="DefaultParagraphFont"/>
    <w:link w:val="Header"/>
    <w:uiPriority w:val="99"/>
    <w:rsid w:val="00EF617E"/>
  </w:style>
  <w:style w:type="paragraph" w:styleId="Footer">
    <w:name w:val="footer"/>
    <w:basedOn w:val="Normal"/>
    <w:link w:val="FooterChar"/>
    <w:uiPriority w:val="99"/>
    <w:unhideWhenUsed/>
    <w:rsid w:val="00EF617E"/>
    <w:pPr>
      <w:tabs>
        <w:tab w:val="center" w:pos="4320"/>
        <w:tab w:val="right" w:pos="8640"/>
      </w:tabs>
      <w:spacing w:line="240" w:lineRule="auto"/>
    </w:pPr>
  </w:style>
  <w:style w:type="character" w:customStyle="1" w:styleId="FooterChar">
    <w:name w:val="Footer Char"/>
    <w:basedOn w:val="DefaultParagraphFont"/>
    <w:link w:val="Footer"/>
    <w:uiPriority w:val="99"/>
    <w:rsid w:val="00EF617E"/>
  </w:style>
  <w:style w:type="character" w:styleId="Hyperlink">
    <w:name w:val="Hyperlink"/>
    <w:basedOn w:val="DefaultParagraphFont"/>
    <w:uiPriority w:val="99"/>
    <w:unhideWhenUsed/>
    <w:rsid w:val="00EF617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style>
  <w:style w:type="paragraph" w:styleId="Title">
    <w:name w:val="Title"/>
    <w:basedOn w:val="normal0"/>
    <w:next w:val="normal0"/>
    <w:pPr>
      <w:keepNext/>
      <w:keepLines/>
      <w:spacing w:after="60"/>
    </w:pPr>
    <w:rPr>
      <w:sz w:val="52"/>
      <w:szCs w:val="52"/>
    </w:rPr>
  </w:style>
  <w:style w:type="paragraph" w:customStyle="1" w:styleId="normal0">
    <w:name w:val="normal"/>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EF617E"/>
    <w:pPr>
      <w:tabs>
        <w:tab w:val="center" w:pos="4320"/>
        <w:tab w:val="right" w:pos="8640"/>
      </w:tabs>
      <w:spacing w:line="240" w:lineRule="auto"/>
    </w:pPr>
  </w:style>
  <w:style w:type="character" w:customStyle="1" w:styleId="HeaderChar">
    <w:name w:val="Header Char"/>
    <w:basedOn w:val="DefaultParagraphFont"/>
    <w:link w:val="Header"/>
    <w:uiPriority w:val="99"/>
    <w:rsid w:val="00EF617E"/>
  </w:style>
  <w:style w:type="paragraph" w:styleId="Footer">
    <w:name w:val="footer"/>
    <w:basedOn w:val="Normal"/>
    <w:link w:val="FooterChar"/>
    <w:uiPriority w:val="99"/>
    <w:unhideWhenUsed/>
    <w:rsid w:val="00EF617E"/>
    <w:pPr>
      <w:tabs>
        <w:tab w:val="center" w:pos="4320"/>
        <w:tab w:val="right" w:pos="8640"/>
      </w:tabs>
      <w:spacing w:line="240" w:lineRule="auto"/>
    </w:pPr>
  </w:style>
  <w:style w:type="character" w:customStyle="1" w:styleId="FooterChar">
    <w:name w:val="Footer Char"/>
    <w:basedOn w:val="DefaultParagraphFont"/>
    <w:link w:val="Footer"/>
    <w:uiPriority w:val="99"/>
    <w:rsid w:val="00EF617E"/>
  </w:style>
  <w:style w:type="character" w:styleId="Hyperlink">
    <w:name w:val="Hyperlink"/>
    <w:basedOn w:val="DefaultParagraphFont"/>
    <w:uiPriority w:val="99"/>
    <w:unhideWhenUsed/>
    <w:rsid w:val="00EF61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jp-minerals.org/vesta/en/"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4" Type="http://schemas.openxmlformats.org/officeDocument/2006/relationships/hyperlink" Target="http://creativecommons.org/about/license/" TargetMode="External"/><Relationship Id="rId1" Type="http://schemas.openxmlformats.org/officeDocument/2006/relationships/hyperlink" Target="mailto:dariasr@kzoo.edu" TargetMode="External"/><Relationship Id="rId2" Type="http://schemas.openxmlformats.org/officeDocument/2006/relationships/hyperlink" Target="mailto:Mitch.anstey@david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NnJ817tNrpGY7qmx0Lv8myn+Q==">AMUW2mXXJuWZCnD+cRPrJxbr3WaYaatDCAEXeMwMr/8FJNLk4Zx4sVBTimQH8xdkXrb7NGS0jBv+uWfLOQ/TtVYTHzqqJE9UREgRGUgO+A2TMy2nz7CJI0y+NYR/13xz6BxcUcfYLfQu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1381</Characters>
  <Application>Microsoft Macintosh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Mae Joanne Aguila</cp:lastModifiedBy>
  <cp:revision>4</cp:revision>
  <dcterms:created xsi:type="dcterms:W3CDTF">2021-08-04T20:20:00Z</dcterms:created>
  <dcterms:modified xsi:type="dcterms:W3CDTF">2021-08-04T20:21:00Z</dcterms:modified>
</cp:coreProperties>
</file>