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7B87B75" w14:textId="77777777" w:rsidR="007E1CD6" w:rsidRDefault="007E1CD6"/>
    <w:p w14:paraId="7B653169" w14:textId="77777777" w:rsidR="00671533" w:rsidRDefault="008A3491">
      <w:pPr>
        <w:numPr>
          <w:ilvl w:val="0"/>
          <w:numId w:val="1"/>
        </w:numPr>
        <w:ind w:hanging="360"/>
        <w:contextualSpacing/>
      </w:pPr>
      <w:r>
        <w:t xml:space="preserve">Define the term “pincer ligand” </w:t>
      </w:r>
      <w:r w:rsidR="00671533">
        <w:t>based on</w:t>
      </w:r>
      <w:r>
        <w:t xml:space="preserve"> the following sentence taken from pg 2916</w:t>
      </w:r>
      <w:r w:rsidR="00671533">
        <w:t xml:space="preserve"> of the paper: </w:t>
      </w:r>
    </w:p>
    <w:p w14:paraId="7425775C" w14:textId="77777777" w:rsidR="007E1CD6" w:rsidRDefault="008A3491" w:rsidP="00B8648D">
      <w:pPr>
        <w:ind w:left="1170" w:right="630"/>
        <w:contextualSpacing/>
      </w:pPr>
      <w:r>
        <w:t xml:space="preserve"> “As a </w:t>
      </w:r>
      <w:r>
        <w:rPr>
          <w:b/>
          <w:u w:val="single"/>
        </w:rPr>
        <w:t>tridentate</w:t>
      </w:r>
      <w:r>
        <w:rPr>
          <w:b/>
        </w:rPr>
        <w:t xml:space="preserve">, </w:t>
      </w:r>
      <w:proofErr w:type="spellStart"/>
      <w:r>
        <w:rPr>
          <w:b/>
          <w:u w:val="single"/>
        </w:rPr>
        <w:t>meridionally</w:t>
      </w:r>
      <w:proofErr w:type="spellEnd"/>
      <w:r>
        <w:rPr>
          <w:b/>
        </w:rPr>
        <w:t xml:space="preserve"> </w:t>
      </w:r>
      <w:r>
        <w:rPr>
          <w:b/>
          <w:u w:val="single"/>
        </w:rPr>
        <w:t>chelating ligand</w:t>
      </w:r>
      <w:r>
        <w:t>, it can also be characterized as a pincer ligand.”</w:t>
      </w:r>
      <w:bookmarkStart w:id="0" w:name="_GoBack"/>
      <w:bookmarkEnd w:id="0"/>
    </w:p>
    <w:p w14:paraId="5C610C1E" w14:textId="77777777" w:rsidR="007E1CD6" w:rsidRDefault="008A3491">
      <w:pPr>
        <w:numPr>
          <w:ilvl w:val="0"/>
          <w:numId w:val="1"/>
        </w:numPr>
        <w:ind w:hanging="360"/>
        <w:contextualSpacing/>
      </w:pPr>
      <w:r>
        <w:t xml:space="preserve">How does the author define a “redox non-innocent ligand”?  </w:t>
      </w:r>
      <w:r w:rsidR="00671533">
        <w:t>Please be sure to put this in your own words.</w:t>
      </w:r>
    </w:p>
    <w:p w14:paraId="121AB2F1" w14:textId="77777777" w:rsidR="007E1CD6" w:rsidRDefault="008A3491">
      <w:pPr>
        <w:numPr>
          <w:ilvl w:val="0"/>
          <w:numId w:val="1"/>
        </w:numPr>
        <w:ind w:hanging="360"/>
        <w:contextualSpacing/>
      </w:pPr>
      <w:r>
        <w:t>For Ni, Pd, and Pt,</w:t>
      </w:r>
    </w:p>
    <w:p w14:paraId="254F8B70" w14:textId="77777777" w:rsidR="00671533" w:rsidRDefault="00671533">
      <w:pPr>
        <w:numPr>
          <w:ilvl w:val="1"/>
          <w:numId w:val="1"/>
        </w:numPr>
        <w:ind w:hanging="360"/>
        <w:contextualSpacing/>
      </w:pPr>
      <w:r>
        <w:t xml:space="preserve">Use available resources to create </w:t>
      </w:r>
      <w:r w:rsidR="008A3491">
        <w:t xml:space="preserve">a table of the redox potentials for </w:t>
      </w:r>
    </w:p>
    <w:p w14:paraId="77A510E4" w14:textId="77777777" w:rsidR="007E1CD6" w:rsidRDefault="008A3491" w:rsidP="001844BF">
      <w:pPr>
        <w:ind w:left="1080"/>
        <w:contextualSpacing/>
        <w:jc w:val="center"/>
      </w:pPr>
      <w:r>
        <w:t>M</w:t>
      </w:r>
      <w:r>
        <w:rPr>
          <w:vertAlign w:val="superscript"/>
        </w:rPr>
        <w:t>2+</w:t>
      </w:r>
      <w:r>
        <w:t xml:space="preserve"> + 2e</w:t>
      </w:r>
      <w:r>
        <w:rPr>
          <w:vertAlign w:val="superscript"/>
        </w:rPr>
        <w:t>-</w:t>
      </w:r>
      <w:r>
        <w:rPr>
          <w:rFonts w:ascii="Nova Mono" w:eastAsia="Nova Mono" w:hAnsi="Nova Mono" w:cs="Nova Mono"/>
        </w:rPr>
        <w:t xml:space="preserve"> → M.</w:t>
      </w:r>
    </w:p>
    <w:p w14:paraId="1285E66E" w14:textId="77777777" w:rsidR="007E1CD6" w:rsidRDefault="007E1CD6">
      <w:pPr>
        <w:jc w:val="center"/>
      </w:pPr>
    </w:p>
    <w:tbl>
      <w:tblPr>
        <w:tblStyle w:val="a"/>
        <w:tblW w:w="61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25"/>
        <w:gridCol w:w="1980"/>
      </w:tblGrid>
      <w:tr w:rsidR="007E1CD6" w14:paraId="1B873B00" w14:textId="77777777">
        <w:trPr>
          <w:jc w:val="center"/>
        </w:trPr>
        <w:tc>
          <w:tcPr>
            <w:tcW w:w="4125" w:type="dxa"/>
            <w:tcMar>
              <w:top w:w="100" w:type="dxa"/>
              <w:left w:w="100" w:type="dxa"/>
              <w:bottom w:w="100" w:type="dxa"/>
              <w:right w:w="100" w:type="dxa"/>
            </w:tcMar>
          </w:tcPr>
          <w:p w14:paraId="35E5B725" w14:textId="77777777" w:rsidR="007E1CD6" w:rsidRDefault="008A3491">
            <w:pPr>
              <w:widowControl w:val="0"/>
              <w:spacing w:line="240" w:lineRule="auto"/>
              <w:jc w:val="center"/>
            </w:pPr>
            <w:r>
              <w:t>Half-reaction</w:t>
            </w:r>
          </w:p>
        </w:tc>
        <w:tc>
          <w:tcPr>
            <w:tcW w:w="1980" w:type="dxa"/>
            <w:tcMar>
              <w:top w:w="100" w:type="dxa"/>
              <w:left w:w="100" w:type="dxa"/>
              <w:bottom w:w="100" w:type="dxa"/>
              <w:right w:w="100" w:type="dxa"/>
            </w:tcMar>
          </w:tcPr>
          <w:p w14:paraId="48AFCE39" w14:textId="77777777" w:rsidR="007E1CD6" w:rsidRDefault="008A3491">
            <w:pPr>
              <w:widowControl w:val="0"/>
              <w:spacing w:line="240" w:lineRule="auto"/>
              <w:jc w:val="center"/>
            </w:pPr>
            <w:proofErr w:type="spellStart"/>
            <w:r>
              <w:t>E</w:t>
            </w:r>
            <w:r>
              <w:rPr>
                <w:vertAlign w:val="superscript"/>
              </w:rPr>
              <w:t>o</w:t>
            </w:r>
            <w:proofErr w:type="spellEnd"/>
            <w:r>
              <w:t xml:space="preserve"> (V vs NHE)</w:t>
            </w:r>
          </w:p>
        </w:tc>
      </w:tr>
      <w:tr w:rsidR="007E1CD6" w14:paraId="6ABCA18D" w14:textId="77777777">
        <w:trPr>
          <w:jc w:val="center"/>
        </w:trPr>
        <w:tc>
          <w:tcPr>
            <w:tcW w:w="4125" w:type="dxa"/>
            <w:tcMar>
              <w:top w:w="100" w:type="dxa"/>
              <w:left w:w="100" w:type="dxa"/>
              <w:bottom w:w="100" w:type="dxa"/>
              <w:right w:w="100" w:type="dxa"/>
            </w:tcMar>
          </w:tcPr>
          <w:p w14:paraId="2DEF1DC2" w14:textId="77777777" w:rsidR="007E1CD6" w:rsidRDefault="007E1CD6">
            <w:pPr>
              <w:widowControl w:val="0"/>
              <w:spacing w:line="240" w:lineRule="auto"/>
              <w:jc w:val="center"/>
            </w:pPr>
          </w:p>
        </w:tc>
        <w:tc>
          <w:tcPr>
            <w:tcW w:w="1980" w:type="dxa"/>
            <w:tcMar>
              <w:top w:w="100" w:type="dxa"/>
              <w:left w:w="100" w:type="dxa"/>
              <w:bottom w:w="100" w:type="dxa"/>
              <w:right w:w="100" w:type="dxa"/>
            </w:tcMar>
          </w:tcPr>
          <w:p w14:paraId="49555C24" w14:textId="77777777" w:rsidR="007E1CD6" w:rsidRDefault="007E1CD6">
            <w:pPr>
              <w:widowControl w:val="0"/>
              <w:spacing w:line="240" w:lineRule="auto"/>
              <w:jc w:val="center"/>
            </w:pPr>
          </w:p>
        </w:tc>
      </w:tr>
      <w:tr w:rsidR="007E1CD6" w14:paraId="18D200D9" w14:textId="77777777">
        <w:trPr>
          <w:jc w:val="center"/>
        </w:trPr>
        <w:tc>
          <w:tcPr>
            <w:tcW w:w="4125" w:type="dxa"/>
            <w:tcMar>
              <w:top w:w="100" w:type="dxa"/>
              <w:left w:w="100" w:type="dxa"/>
              <w:bottom w:w="100" w:type="dxa"/>
              <w:right w:w="100" w:type="dxa"/>
            </w:tcMar>
          </w:tcPr>
          <w:p w14:paraId="618E7B35" w14:textId="77777777" w:rsidR="007E1CD6" w:rsidRDefault="007E1CD6">
            <w:pPr>
              <w:widowControl w:val="0"/>
              <w:spacing w:line="240" w:lineRule="auto"/>
              <w:jc w:val="center"/>
            </w:pPr>
          </w:p>
        </w:tc>
        <w:tc>
          <w:tcPr>
            <w:tcW w:w="1980" w:type="dxa"/>
            <w:tcMar>
              <w:top w:w="100" w:type="dxa"/>
              <w:left w:w="100" w:type="dxa"/>
              <w:bottom w:w="100" w:type="dxa"/>
              <w:right w:w="100" w:type="dxa"/>
            </w:tcMar>
          </w:tcPr>
          <w:p w14:paraId="32198A0E" w14:textId="77777777" w:rsidR="007E1CD6" w:rsidRDefault="007E1CD6">
            <w:pPr>
              <w:widowControl w:val="0"/>
              <w:spacing w:line="240" w:lineRule="auto"/>
              <w:jc w:val="center"/>
            </w:pPr>
          </w:p>
        </w:tc>
      </w:tr>
      <w:tr w:rsidR="007E1CD6" w14:paraId="5A13D5E3" w14:textId="77777777">
        <w:trPr>
          <w:jc w:val="center"/>
        </w:trPr>
        <w:tc>
          <w:tcPr>
            <w:tcW w:w="4125" w:type="dxa"/>
            <w:tcMar>
              <w:top w:w="100" w:type="dxa"/>
              <w:left w:w="100" w:type="dxa"/>
              <w:bottom w:w="100" w:type="dxa"/>
              <w:right w:w="100" w:type="dxa"/>
            </w:tcMar>
          </w:tcPr>
          <w:p w14:paraId="4B773C6E" w14:textId="77777777" w:rsidR="007E1CD6" w:rsidRDefault="007E1CD6">
            <w:pPr>
              <w:widowControl w:val="0"/>
              <w:spacing w:line="240" w:lineRule="auto"/>
              <w:jc w:val="center"/>
            </w:pPr>
          </w:p>
        </w:tc>
        <w:tc>
          <w:tcPr>
            <w:tcW w:w="1980" w:type="dxa"/>
            <w:tcMar>
              <w:top w:w="100" w:type="dxa"/>
              <w:left w:w="100" w:type="dxa"/>
              <w:bottom w:w="100" w:type="dxa"/>
              <w:right w:w="100" w:type="dxa"/>
            </w:tcMar>
          </w:tcPr>
          <w:p w14:paraId="38561942" w14:textId="77777777" w:rsidR="007E1CD6" w:rsidRDefault="007E1CD6" w:rsidP="007544C5">
            <w:pPr>
              <w:widowControl w:val="0"/>
              <w:spacing w:line="240" w:lineRule="auto"/>
              <w:jc w:val="center"/>
            </w:pPr>
          </w:p>
        </w:tc>
      </w:tr>
    </w:tbl>
    <w:p w14:paraId="4601484C" w14:textId="77777777" w:rsidR="007E1CD6" w:rsidRDefault="008A3491">
      <w:pPr>
        <w:jc w:val="center"/>
      </w:pPr>
      <w:r>
        <w:t xml:space="preserve"> </w:t>
      </w:r>
    </w:p>
    <w:p w14:paraId="3A3F557D" w14:textId="77777777" w:rsidR="007E1CD6" w:rsidRDefault="008A3491">
      <w:pPr>
        <w:numPr>
          <w:ilvl w:val="1"/>
          <w:numId w:val="1"/>
        </w:numPr>
        <w:ind w:hanging="360"/>
        <w:contextualSpacing/>
      </w:pPr>
      <w:r>
        <w:t>How do the potentials for Pt and Pd compare? How do the potentials for Ni and Pt compare? What is the range of potentials covered by these three metals?</w:t>
      </w:r>
    </w:p>
    <w:p w14:paraId="2ABF79FF" w14:textId="77777777" w:rsidR="007E1CD6" w:rsidRDefault="008A3491">
      <w:pPr>
        <w:numPr>
          <w:ilvl w:val="1"/>
          <w:numId w:val="1"/>
        </w:numPr>
        <w:ind w:hanging="360"/>
        <w:contextualSpacing/>
      </w:pPr>
      <w:r>
        <w:t xml:space="preserve">Which two metals are </w:t>
      </w:r>
      <w:r w:rsidR="00822B13">
        <w:t xml:space="preserve">most </w:t>
      </w:r>
      <w:r>
        <w:t>similar in their redox potential?  Does this agree with what you would predict based on periodicity</w:t>
      </w:r>
      <w:r w:rsidR="00822B13">
        <w:t>?</w:t>
      </w:r>
    </w:p>
    <w:p w14:paraId="0EB80075" w14:textId="77777777" w:rsidR="007E1CD6" w:rsidRDefault="00822B13">
      <w:pPr>
        <w:numPr>
          <w:ilvl w:val="1"/>
          <w:numId w:val="1"/>
        </w:numPr>
        <w:ind w:hanging="360"/>
        <w:contextualSpacing/>
      </w:pPr>
      <w:r>
        <w:t>L</w:t>
      </w:r>
      <w:r w:rsidR="008A3491">
        <w:t>ook at the potentials presented in Table 6</w:t>
      </w:r>
      <w:r>
        <w:t xml:space="preserve"> in the paper</w:t>
      </w:r>
      <w:r w:rsidR="008A3491">
        <w:t xml:space="preserve">.  What is the electrochemical potential range for the 3-PdCl complex and the 3-NiCl complex?  </w:t>
      </w:r>
    </w:p>
    <w:p w14:paraId="43F653A8" w14:textId="77777777" w:rsidR="007E1CD6" w:rsidRDefault="008A3491" w:rsidP="007544C5">
      <w:pPr>
        <w:numPr>
          <w:ilvl w:val="1"/>
          <w:numId w:val="1"/>
        </w:numPr>
        <w:ind w:hanging="360"/>
        <w:contextualSpacing/>
      </w:pPr>
      <w:r>
        <w:t>The change in electrochemical potential mentioned in part d is small compared to that in part b. Discuss how this supports the redox non-innocence of these ligands.</w:t>
      </w:r>
      <w:r w:rsidRPr="007544C5">
        <w:rPr>
          <w:color w:val="0000FF"/>
        </w:rPr>
        <w:t xml:space="preserve"> </w:t>
      </w:r>
    </w:p>
    <w:p w14:paraId="5BF434FD" w14:textId="77777777" w:rsidR="007E1CD6" w:rsidRDefault="008A3491">
      <w:pPr>
        <w:numPr>
          <w:ilvl w:val="0"/>
          <w:numId w:val="1"/>
        </w:numPr>
        <w:ind w:hanging="360"/>
        <w:contextualSpacing/>
      </w:pPr>
      <w:r>
        <w:t>Classify complexe</w:t>
      </w:r>
      <w:r w:rsidR="007544C5">
        <w:t>s 14-RhCO, 15-RhCO, 8-RhCO, and</w:t>
      </w:r>
      <w:r>
        <w:t xml:space="preserve"> 4-RhCO in Figure 5 according to the CBC rules. Determine the ligand bond number, valence number, electron count, and d-electron count.</w:t>
      </w:r>
    </w:p>
    <w:tbl>
      <w:tblPr>
        <w:tblStyle w:val="a0"/>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560"/>
        <w:gridCol w:w="1560"/>
        <w:gridCol w:w="1560"/>
        <w:gridCol w:w="1560"/>
        <w:gridCol w:w="1560"/>
      </w:tblGrid>
      <w:tr w:rsidR="007E1CD6" w14:paraId="4073CD57" w14:textId="77777777">
        <w:trPr>
          <w:jc w:val="center"/>
        </w:trPr>
        <w:tc>
          <w:tcPr>
            <w:tcW w:w="1560" w:type="dxa"/>
            <w:tcMar>
              <w:top w:w="100" w:type="dxa"/>
              <w:left w:w="100" w:type="dxa"/>
              <w:bottom w:w="100" w:type="dxa"/>
              <w:right w:w="100" w:type="dxa"/>
            </w:tcMar>
          </w:tcPr>
          <w:p w14:paraId="42A1A966" w14:textId="77777777" w:rsidR="007E1CD6" w:rsidRDefault="008A3491">
            <w:pPr>
              <w:widowControl w:val="0"/>
              <w:spacing w:line="240" w:lineRule="auto"/>
              <w:jc w:val="center"/>
            </w:pPr>
            <w:r>
              <w:t>Complex</w:t>
            </w:r>
          </w:p>
        </w:tc>
        <w:tc>
          <w:tcPr>
            <w:tcW w:w="1560" w:type="dxa"/>
            <w:tcMar>
              <w:top w:w="100" w:type="dxa"/>
              <w:left w:w="100" w:type="dxa"/>
              <w:bottom w:w="100" w:type="dxa"/>
              <w:right w:w="100" w:type="dxa"/>
            </w:tcMar>
          </w:tcPr>
          <w:p w14:paraId="4EEC7F93" w14:textId="77777777" w:rsidR="007E1CD6" w:rsidRDefault="008A3491">
            <w:pPr>
              <w:widowControl w:val="0"/>
              <w:spacing w:line="240" w:lineRule="auto"/>
              <w:jc w:val="center"/>
            </w:pPr>
            <w:r>
              <w:t>Classification</w:t>
            </w:r>
          </w:p>
        </w:tc>
        <w:tc>
          <w:tcPr>
            <w:tcW w:w="1560" w:type="dxa"/>
            <w:tcMar>
              <w:top w:w="100" w:type="dxa"/>
              <w:left w:w="100" w:type="dxa"/>
              <w:bottom w:w="100" w:type="dxa"/>
              <w:right w:w="100" w:type="dxa"/>
            </w:tcMar>
          </w:tcPr>
          <w:p w14:paraId="61E71C37" w14:textId="77777777" w:rsidR="007E1CD6" w:rsidRDefault="008A3491">
            <w:pPr>
              <w:widowControl w:val="0"/>
              <w:spacing w:line="240" w:lineRule="auto"/>
              <w:jc w:val="center"/>
            </w:pPr>
            <w:r>
              <w:t>Ligand Bond Number</w:t>
            </w:r>
          </w:p>
        </w:tc>
        <w:tc>
          <w:tcPr>
            <w:tcW w:w="1560" w:type="dxa"/>
            <w:tcMar>
              <w:top w:w="100" w:type="dxa"/>
              <w:left w:w="100" w:type="dxa"/>
              <w:bottom w:w="100" w:type="dxa"/>
              <w:right w:w="100" w:type="dxa"/>
            </w:tcMar>
          </w:tcPr>
          <w:p w14:paraId="7A3266CF" w14:textId="77777777" w:rsidR="007E1CD6" w:rsidRDefault="008A3491">
            <w:pPr>
              <w:widowControl w:val="0"/>
              <w:spacing w:line="240" w:lineRule="auto"/>
              <w:jc w:val="center"/>
            </w:pPr>
            <w:r>
              <w:t>Valence number</w:t>
            </w:r>
          </w:p>
        </w:tc>
        <w:tc>
          <w:tcPr>
            <w:tcW w:w="1560" w:type="dxa"/>
            <w:tcMar>
              <w:top w:w="100" w:type="dxa"/>
              <w:left w:w="100" w:type="dxa"/>
              <w:bottom w:w="100" w:type="dxa"/>
              <w:right w:w="100" w:type="dxa"/>
            </w:tcMar>
          </w:tcPr>
          <w:p w14:paraId="7A9F0490" w14:textId="77777777" w:rsidR="007E1CD6" w:rsidRDefault="008A3491">
            <w:pPr>
              <w:widowControl w:val="0"/>
              <w:spacing w:line="240" w:lineRule="auto"/>
              <w:jc w:val="center"/>
            </w:pPr>
            <w:r>
              <w:t>Electron Count</w:t>
            </w:r>
          </w:p>
        </w:tc>
        <w:tc>
          <w:tcPr>
            <w:tcW w:w="1560" w:type="dxa"/>
            <w:tcMar>
              <w:top w:w="100" w:type="dxa"/>
              <w:left w:w="100" w:type="dxa"/>
              <w:bottom w:w="100" w:type="dxa"/>
              <w:right w:w="100" w:type="dxa"/>
            </w:tcMar>
          </w:tcPr>
          <w:p w14:paraId="417F01C6" w14:textId="77777777" w:rsidR="007E1CD6" w:rsidRDefault="008A3491">
            <w:pPr>
              <w:widowControl w:val="0"/>
              <w:spacing w:line="240" w:lineRule="auto"/>
              <w:jc w:val="center"/>
            </w:pPr>
            <w:proofErr w:type="spellStart"/>
            <w:r>
              <w:t>d</w:t>
            </w:r>
            <w:r>
              <w:rPr>
                <w:vertAlign w:val="superscript"/>
              </w:rPr>
              <w:t>n</w:t>
            </w:r>
            <w:proofErr w:type="spellEnd"/>
          </w:p>
        </w:tc>
      </w:tr>
      <w:tr w:rsidR="007E1CD6" w14:paraId="7A69628E" w14:textId="77777777">
        <w:trPr>
          <w:jc w:val="center"/>
        </w:trPr>
        <w:tc>
          <w:tcPr>
            <w:tcW w:w="1560" w:type="dxa"/>
            <w:tcMar>
              <w:top w:w="100" w:type="dxa"/>
              <w:left w:w="100" w:type="dxa"/>
              <w:bottom w:w="100" w:type="dxa"/>
              <w:right w:w="100" w:type="dxa"/>
            </w:tcMar>
          </w:tcPr>
          <w:p w14:paraId="3599563A" w14:textId="77777777" w:rsidR="007E1CD6" w:rsidRDefault="008A3491">
            <w:pPr>
              <w:widowControl w:val="0"/>
              <w:spacing w:line="240" w:lineRule="auto"/>
            </w:pPr>
            <w:r>
              <w:t>14-RhCO</w:t>
            </w:r>
          </w:p>
        </w:tc>
        <w:tc>
          <w:tcPr>
            <w:tcW w:w="1560" w:type="dxa"/>
            <w:tcMar>
              <w:top w:w="100" w:type="dxa"/>
              <w:left w:w="100" w:type="dxa"/>
              <w:bottom w:w="100" w:type="dxa"/>
              <w:right w:w="100" w:type="dxa"/>
            </w:tcMar>
          </w:tcPr>
          <w:p w14:paraId="568DBDD2" w14:textId="77777777" w:rsidR="007E1CD6" w:rsidRDefault="007E1CD6">
            <w:pPr>
              <w:widowControl w:val="0"/>
              <w:spacing w:line="240" w:lineRule="auto"/>
              <w:jc w:val="center"/>
            </w:pPr>
          </w:p>
        </w:tc>
        <w:tc>
          <w:tcPr>
            <w:tcW w:w="1560" w:type="dxa"/>
            <w:tcMar>
              <w:top w:w="100" w:type="dxa"/>
              <w:left w:w="100" w:type="dxa"/>
              <w:bottom w:w="100" w:type="dxa"/>
              <w:right w:w="100" w:type="dxa"/>
            </w:tcMar>
          </w:tcPr>
          <w:p w14:paraId="16B7F776" w14:textId="77777777" w:rsidR="007E1CD6" w:rsidRDefault="007E1CD6">
            <w:pPr>
              <w:widowControl w:val="0"/>
              <w:spacing w:line="240" w:lineRule="auto"/>
              <w:jc w:val="center"/>
            </w:pPr>
          </w:p>
        </w:tc>
        <w:tc>
          <w:tcPr>
            <w:tcW w:w="1560" w:type="dxa"/>
            <w:tcMar>
              <w:top w:w="100" w:type="dxa"/>
              <w:left w:w="100" w:type="dxa"/>
              <w:bottom w:w="100" w:type="dxa"/>
              <w:right w:w="100" w:type="dxa"/>
            </w:tcMar>
          </w:tcPr>
          <w:p w14:paraId="2A9D1900" w14:textId="77777777" w:rsidR="007E1CD6" w:rsidRDefault="007E1CD6">
            <w:pPr>
              <w:widowControl w:val="0"/>
              <w:spacing w:line="240" w:lineRule="auto"/>
              <w:jc w:val="center"/>
            </w:pPr>
          </w:p>
        </w:tc>
        <w:tc>
          <w:tcPr>
            <w:tcW w:w="1560" w:type="dxa"/>
            <w:tcMar>
              <w:top w:w="100" w:type="dxa"/>
              <w:left w:w="100" w:type="dxa"/>
              <w:bottom w:w="100" w:type="dxa"/>
              <w:right w:w="100" w:type="dxa"/>
            </w:tcMar>
          </w:tcPr>
          <w:p w14:paraId="67D4D224" w14:textId="77777777" w:rsidR="007E1CD6" w:rsidRDefault="007E1CD6">
            <w:pPr>
              <w:widowControl w:val="0"/>
              <w:spacing w:line="240" w:lineRule="auto"/>
              <w:jc w:val="center"/>
            </w:pPr>
          </w:p>
        </w:tc>
        <w:tc>
          <w:tcPr>
            <w:tcW w:w="1560" w:type="dxa"/>
            <w:tcMar>
              <w:top w:w="100" w:type="dxa"/>
              <w:left w:w="100" w:type="dxa"/>
              <w:bottom w:w="100" w:type="dxa"/>
              <w:right w:w="100" w:type="dxa"/>
            </w:tcMar>
          </w:tcPr>
          <w:p w14:paraId="6A8E914F" w14:textId="77777777" w:rsidR="007E1CD6" w:rsidRDefault="007E1CD6">
            <w:pPr>
              <w:widowControl w:val="0"/>
              <w:spacing w:line="240" w:lineRule="auto"/>
              <w:jc w:val="center"/>
            </w:pPr>
          </w:p>
        </w:tc>
      </w:tr>
      <w:tr w:rsidR="007E1CD6" w14:paraId="23395E60" w14:textId="77777777">
        <w:trPr>
          <w:jc w:val="center"/>
        </w:trPr>
        <w:tc>
          <w:tcPr>
            <w:tcW w:w="1560" w:type="dxa"/>
            <w:tcMar>
              <w:top w:w="100" w:type="dxa"/>
              <w:left w:w="100" w:type="dxa"/>
              <w:bottom w:w="100" w:type="dxa"/>
              <w:right w:w="100" w:type="dxa"/>
            </w:tcMar>
          </w:tcPr>
          <w:p w14:paraId="37F6E024" w14:textId="77777777" w:rsidR="007E1CD6" w:rsidRDefault="008A3491">
            <w:pPr>
              <w:widowControl w:val="0"/>
              <w:spacing w:line="240" w:lineRule="auto"/>
            </w:pPr>
            <w:r>
              <w:t>15-RhCO</w:t>
            </w:r>
          </w:p>
        </w:tc>
        <w:tc>
          <w:tcPr>
            <w:tcW w:w="1560" w:type="dxa"/>
            <w:tcMar>
              <w:top w:w="100" w:type="dxa"/>
              <w:left w:w="100" w:type="dxa"/>
              <w:bottom w:w="100" w:type="dxa"/>
              <w:right w:w="100" w:type="dxa"/>
            </w:tcMar>
          </w:tcPr>
          <w:p w14:paraId="150196FA" w14:textId="77777777" w:rsidR="007E1CD6" w:rsidRDefault="007E1CD6">
            <w:pPr>
              <w:widowControl w:val="0"/>
              <w:spacing w:line="240" w:lineRule="auto"/>
              <w:jc w:val="center"/>
            </w:pPr>
          </w:p>
        </w:tc>
        <w:tc>
          <w:tcPr>
            <w:tcW w:w="1560" w:type="dxa"/>
            <w:tcMar>
              <w:top w:w="100" w:type="dxa"/>
              <w:left w:w="100" w:type="dxa"/>
              <w:bottom w:w="100" w:type="dxa"/>
              <w:right w:w="100" w:type="dxa"/>
            </w:tcMar>
          </w:tcPr>
          <w:p w14:paraId="7909BCC0" w14:textId="77777777" w:rsidR="007E1CD6" w:rsidRDefault="007E1CD6">
            <w:pPr>
              <w:widowControl w:val="0"/>
              <w:spacing w:line="240" w:lineRule="auto"/>
              <w:jc w:val="center"/>
            </w:pPr>
          </w:p>
        </w:tc>
        <w:tc>
          <w:tcPr>
            <w:tcW w:w="1560" w:type="dxa"/>
            <w:tcMar>
              <w:top w:w="100" w:type="dxa"/>
              <w:left w:w="100" w:type="dxa"/>
              <w:bottom w:w="100" w:type="dxa"/>
              <w:right w:w="100" w:type="dxa"/>
            </w:tcMar>
          </w:tcPr>
          <w:p w14:paraId="059AF9FB" w14:textId="77777777" w:rsidR="007E1CD6" w:rsidRDefault="007E1CD6">
            <w:pPr>
              <w:widowControl w:val="0"/>
              <w:spacing w:line="240" w:lineRule="auto"/>
              <w:jc w:val="center"/>
            </w:pPr>
          </w:p>
        </w:tc>
        <w:tc>
          <w:tcPr>
            <w:tcW w:w="1560" w:type="dxa"/>
            <w:tcMar>
              <w:top w:w="100" w:type="dxa"/>
              <w:left w:w="100" w:type="dxa"/>
              <w:bottom w:w="100" w:type="dxa"/>
              <w:right w:w="100" w:type="dxa"/>
            </w:tcMar>
          </w:tcPr>
          <w:p w14:paraId="2574B8C6" w14:textId="77777777" w:rsidR="007E1CD6" w:rsidRDefault="007E1CD6">
            <w:pPr>
              <w:widowControl w:val="0"/>
              <w:spacing w:line="240" w:lineRule="auto"/>
              <w:jc w:val="center"/>
            </w:pPr>
          </w:p>
        </w:tc>
        <w:tc>
          <w:tcPr>
            <w:tcW w:w="1560" w:type="dxa"/>
            <w:tcMar>
              <w:top w:w="100" w:type="dxa"/>
              <w:left w:w="100" w:type="dxa"/>
              <w:bottom w:w="100" w:type="dxa"/>
              <w:right w:w="100" w:type="dxa"/>
            </w:tcMar>
          </w:tcPr>
          <w:p w14:paraId="09E14C50" w14:textId="77777777" w:rsidR="007E1CD6" w:rsidRDefault="007E1CD6">
            <w:pPr>
              <w:widowControl w:val="0"/>
              <w:spacing w:line="240" w:lineRule="auto"/>
              <w:jc w:val="center"/>
            </w:pPr>
          </w:p>
        </w:tc>
      </w:tr>
      <w:tr w:rsidR="007E1CD6" w14:paraId="1A75A5CC" w14:textId="77777777">
        <w:trPr>
          <w:jc w:val="center"/>
        </w:trPr>
        <w:tc>
          <w:tcPr>
            <w:tcW w:w="1560" w:type="dxa"/>
            <w:tcMar>
              <w:top w:w="100" w:type="dxa"/>
              <w:left w:w="100" w:type="dxa"/>
              <w:bottom w:w="100" w:type="dxa"/>
              <w:right w:w="100" w:type="dxa"/>
            </w:tcMar>
          </w:tcPr>
          <w:p w14:paraId="6AE63D06" w14:textId="77777777" w:rsidR="007E1CD6" w:rsidRDefault="008A3491">
            <w:pPr>
              <w:widowControl w:val="0"/>
              <w:spacing w:line="240" w:lineRule="auto"/>
            </w:pPr>
            <w:r>
              <w:t>8-RhCO</w:t>
            </w:r>
          </w:p>
        </w:tc>
        <w:tc>
          <w:tcPr>
            <w:tcW w:w="1560" w:type="dxa"/>
            <w:tcMar>
              <w:top w:w="100" w:type="dxa"/>
              <w:left w:w="100" w:type="dxa"/>
              <w:bottom w:w="100" w:type="dxa"/>
              <w:right w:w="100" w:type="dxa"/>
            </w:tcMar>
          </w:tcPr>
          <w:p w14:paraId="1DBFF935" w14:textId="77777777" w:rsidR="007E1CD6" w:rsidRDefault="007E1CD6">
            <w:pPr>
              <w:widowControl w:val="0"/>
              <w:spacing w:line="240" w:lineRule="auto"/>
              <w:jc w:val="center"/>
            </w:pPr>
          </w:p>
        </w:tc>
        <w:tc>
          <w:tcPr>
            <w:tcW w:w="1560" w:type="dxa"/>
            <w:tcMar>
              <w:top w:w="100" w:type="dxa"/>
              <w:left w:w="100" w:type="dxa"/>
              <w:bottom w:w="100" w:type="dxa"/>
              <w:right w:w="100" w:type="dxa"/>
            </w:tcMar>
          </w:tcPr>
          <w:p w14:paraId="68C81AA0" w14:textId="77777777" w:rsidR="007E1CD6" w:rsidRDefault="007E1CD6">
            <w:pPr>
              <w:widowControl w:val="0"/>
              <w:spacing w:line="240" w:lineRule="auto"/>
              <w:jc w:val="center"/>
            </w:pPr>
          </w:p>
        </w:tc>
        <w:tc>
          <w:tcPr>
            <w:tcW w:w="1560" w:type="dxa"/>
            <w:tcMar>
              <w:top w:w="100" w:type="dxa"/>
              <w:left w:w="100" w:type="dxa"/>
              <w:bottom w:w="100" w:type="dxa"/>
              <w:right w:w="100" w:type="dxa"/>
            </w:tcMar>
          </w:tcPr>
          <w:p w14:paraId="5FB26B0D" w14:textId="77777777" w:rsidR="007E1CD6" w:rsidRDefault="007E1CD6">
            <w:pPr>
              <w:widowControl w:val="0"/>
              <w:spacing w:line="240" w:lineRule="auto"/>
              <w:jc w:val="center"/>
            </w:pPr>
          </w:p>
        </w:tc>
        <w:tc>
          <w:tcPr>
            <w:tcW w:w="1560" w:type="dxa"/>
            <w:tcMar>
              <w:top w:w="100" w:type="dxa"/>
              <w:left w:w="100" w:type="dxa"/>
              <w:bottom w:w="100" w:type="dxa"/>
              <w:right w:w="100" w:type="dxa"/>
            </w:tcMar>
          </w:tcPr>
          <w:p w14:paraId="5AC1C662" w14:textId="77777777" w:rsidR="007E1CD6" w:rsidRDefault="007E1CD6">
            <w:pPr>
              <w:widowControl w:val="0"/>
              <w:spacing w:line="240" w:lineRule="auto"/>
              <w:jc w:val="center"/>
            </w:pPr>
          </w:p>
        </w:tc>
        <w:tc>
          <w:tcPr>
            <w:tcW w:w="1560" w:type="dxa"/>
            <w:tcMar>
              <w:top w:w="100" w:type="dxa"/>
              <w:left w:w="100" w:type="dxa"/>
              <w:bottom w:w="100" w:type="dxa"/>
              <w:right w:w="100" w:type="dxa"/>
            </w:tcMar>
          </w:tcPr>
          <w:p w14:paraId="56E496AF" w14:textId="77777777" w:rsidR="007E1CD6" w:rsidRDefault="007E1CD6">
            <w:pPr>
              <w:widowControl w:val="0"/>
              <w:spacing w:line="240" w:lineRule="auto"/>
              <w:jc w:val="center"/>
            </w:pPr>
          </w:p>
        </w:tc>
      </w:tr>
      <w:tr w:rsidR="007E1CD6" w14:paraId="3D1C8C30" w14:textId="77777777">
        <w:trPr>
          <w:jc w:val="center"/>
        </w:trPr>
        <w:tc>
          <w:tcPr>
            <w:tcW w:w="1560" w:type="dxa"/>
            <w:tcMar>
              <w:top w:w="100" w:type="dxa"/>
              <w:left w:w="100" w:type="dxa"/>
              <w:bottom w:w="100" w:type="dxa"/>
              <w:right w:w="100" w:type="dxa"/>
            </w:tcMar>
          </w:tcPr>
          <w:p w14:paraId="2E663E01" w14:textId="77777777" w:rsidR="007E1CD6" w:rsidRDefault="008A3491">
            <w:pPr>
              <w:widowControl w:val="0"/>
              <w:spacing w:line="240" w:lineRule="auto"/>
            </w:pPr>
            <w:r>
              <w:t>4-RhCO</w:t>
            </w:r>
          </w:p>
        </w:tc>
        <w:tc>
          <w:tcPr>
            <w:tcW w:w="1560" w:type="dxa"/>
            <w:tcMar>
              <w:top w:w="100" w:type="dxa"/>
              <w:left w:w="100" w:type="dxa"/>
              <w:bottom w:w="100" w:type="dxa"/>
              <w:right w:w="100" w:type="dxa"/>
            </w:tcMar>
          </w:tcPr>
          <w:p w14:paraId="23657D5D" w14:textId="77777777" w:rsidR="007E1CD6" w:rsidRDefault="007E1CD6">
            <w:pPr>
              <w:widowControl w:val="0"/>
              <w:spacing w:line="240" w:lineRule="auto"/>
              <w:jc w:val="center"/>
            </w:pPr>
          </w:p>
        </w:tc>
        <w:tc>
          <w:tcPr>
            <w:tcW w:w="1560" w:type="dxa"/>
            <w:tcMar>
              <w:top w:w="100" w:type="dxa"/>
              <w:left w:w="100" w:type="dxa"/>
              <w:bottom w:w="100" w:type="dxa"/>
              <w:right w:w="100" w:type="dxa"/>
            </w:tcMar>
          </w:tcPr>
          <w:p w14:paraId="078719D4" w14:textId="77777777" w:rsidR="007E1CD6" w:rsidRDefault="007E1CD6">
            <w:pPr>
              <w:widowControl w:val="0"/>
              <w:spacing w:line="240" w:lineRule="auto"/>
              <w:jc w:val="center"/>
            </w:pPr>
          </w:p>
        </w:tc>
        <w:tc>
          <w:tcPr>
            <w:tcW w:w="1560" w:type="dxa"/>
            <w:tcMar>
              <w:top w:w="100" w:type="dxa"/>
              <w:left w:w="100" w:type="dxa"/>
              <w:bottom w:w="100" w:type="dxa"/>
              <w:right w:w="100" w:type="dxa"/>
            </w:tcMar>
          </w:tcPr>
          <w:p w14:paraId="64F6809A" w14:textId="77777777" w:rsidR="007E1CD6" w:rsidRDefault="007E1CD6">
            <w:pPr>
              <w:widowControl w:val="0"/>
              <w:spacing w:line="240" w:lineRule="auto"/>
              <w:jc w:val="center"/>
            </w:pPr>
          </w:p>
        </w:tc>
        <w:tc>
          <w:tcPr>
            <w:tcW w:w="1560" w:type="dxa"/>
            <w:tcMar>
              <w:top w:w="100" w:type="dxa"/>
              <w:left w:w="100" w:type="dxa"/>
              <w:bottom w:w="100" w:type="dxa"/>
              <w:right w:w="100" w:type="dxa"/>
            </w:tcMar>
          </w:tcPr>
          <w:p w14:paraId="5FB082B0" w14:textId="77777777" w:rsidR="007E1CD6" w:rsidRDefault="007E1CD6">
            <w:pPr>
              <w:widowControl w:val="0"/>
              <w:spacing w:line="240" w:lineRule="auto"/>
              <w:jc w:val="center"/>
            </w:pPr>
          </w:p>
        </w:tc>
        <w:tc>
          <w:tcPr>
            <w:tcW w:w="1560" w:type="dxa"/>
            <w:tcMar>
              <w:top w:w="100" w:type="dxa"/>
              <w:left w:w="100" w:type="dxa"/>
              <w:bottom w:w="100" w:type="dxa"/>
              <w:right w:w="100" w:type="dxa"/>
            </w:tcMar>
          </w:tcPr>
          <w:p w14:paraId="1192859D" w14:textId="77777777" w:rsidR="007E1CD6" w:rsidRDefault="007E1CD6">
            <w:pPr>
              <w:widowControl w:val="0"/>
              <w:spacing w:line="240" w:lineRule="auto"/>
              <w:jc w:val="center"/>
            </w:pPr>
          </w:p>
        </w:tc>
      </w:tr>
    </w:tbl>
    <w:p w14:paraId="0B3AD11A" w14:textId="77777777" w:rsidR="007E1CD6" w:rsidRDefault="007E1CD6"/>
    <w:p w14:paraId="6A7486BE" w14:textId="77777777" w:rsidR="007E1CD6" w:rsidRDefault="008A3491">
      <w:pPr>
        <w:numPr>
          <w:ilvl w:val="0"/>
          <w:numId w:val="1"/>
        </w:numPr>
        <w:ind w:hanging="360"/>
        <w:contextualSpacing/>
      </w:pPr>
      <w:r>
        <w:t xml:space="preserve">Complete this table using information from Table 2 and Figure 7: </w:t>
      </w:r>
    </w:p>
    <w:tbl>
      <w:tblPr>
        <w:tblStyle w:val="a1"/>
        <w:tblW w:w="86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0"/>
        <w:gridCol w:w="2160"/>
        <w:gridCol w:w="1730"/>
        <w:gridCol w:w="1730"/>
        <w:gridCol w:w="1730"/>
      </w:tblGrid>
      <w:tr w:rsidR="007E1CD6" w14:paraId="2B841DFE" w14:textId="77777777">
        <w:trPr>
          <w:jc w:val="center"/>
        </w:trPr>
        <w:tc>
          <w:tcPr>
            <w:tcW w:w="1290" w:type="dxa"/>
            <w:tcMar>
              <w:top w:w="100" w:type="dxa"/>
              <w:left w:w="100" w:type="dxa"/>
              <w:bottom w:w="100" w:type="dxa"/>
              <w:right w:w="100" w:type="dxa"/>
            </w:tcMar>
          </w:tcPr>
          <w:p w14:paraId="13621EFD" w14:textId="77777777" w:rsidR="007E1CD6" w:rsidRDefault="008A3491">
            <w:pPr>
              <w:widowControl w:val="0"/>
              <w:spacing w:line="240" w:lineRule="auto"/>
            </w:pPr>
            <w:r>
              <w:t>Complex</w:t>
            </w:r>
          </w:p>
        </w:tc>
        <w:tc>
          <w:tcPr>
            <w:tcW w:w="2160" w:type="dxa"/>
            <w:tcMar>
              <w:top w:w="100" w:type="dxa"/>
              <w:left w:w="100" w:type="dxa"/>
              <w:bottom w:w="100" w:type="dxa"/>
              <w:right w:w="100" w:type="dxa"/>
            </w:tcMar>
          </w:tcPr>
          <w:p w14:paraId="364B7BF8" w14:textId="77777777" w:rsidR="007E1CD6" w:rsidRDefault="008A3491">
            <w:pPr>
              <w:widowControl w:val="0"/>
              <w:spacing w:line="240" w:lineRule="auto"/>
            </w:pPr>
            <w:r>
              <w:t>Sketch the Structure of the Pincer Ligand</w:t>
            </w:r>
          </w:p>
        </w:tc>
        <w:tc>
          <w:tcPr>
            <w:tcW w:w="1730" w:type="dxa"/>
            <w:tcMar>
              <w:top w:w="100" w:type="dxa"/>
              <w:left w:w="100" w:type="dxa"/>
              <w:bottom w:w="100" w:type="dxa"/>
              <w:right w:w="100" w:type="dxa"/>
            </w:tcMar>
          </w:tcPr>
          <w:p w14:paraId="08DFAB72" w14:textId="77777777" w:rsidR="007E1CD6" w:rsidRDefault="008A3491">
            <w:pPr>
              <w:widowControl w:val="0"/>
              <w:spacing w:line="240" w:lineRule="auto"/>
            </w:pPr>
            <w:r>
              <w:t>Color of Rh Complex</w:t>
            </w:r>
          </w:p>
        </w:tc>
        <w:tc>
          <w:tcPr>
            <w:tcW w:w="1730" w:type="dxa"/>
            <w:tcMar>
              <w:top w:w="100" w:type="dxa"/>
              <w:left w:w="100" w:type="dxa"/>
              <w:bottom w:w="100" w:type="dxa"/>
              <w:right w:w="100" w:type="dxa"/>
            </w:tcMar>
          </w:tcPr>
          <w:p w14:paraId="07C0D96F" w14:textId="77777777" w:rsidR="007E1CD6" w:rsidRDefault="008A3491">
            <w:pPr>
              <w:widowControl w:val="0"/>
              <w:spacing w:line="240" w:lineRule="auto"/>
            </w:pPr>
            <w:r>
              <w:rPr>
                <w:rFonts w:ascii="STIXGeneral-Regular" w:hAnsi="STIXGeneral-Regular" w:cs="STIXGeneral-Regular"/>
              </w:rPr>
              <w:t>𝜈</w:t>
            </w:r>
            <w:r>
              <w:t>(CO) for Rh Complex</w:t>
            </w:r>
          </w:p>
        </w:tc>
        <w:tc>
          <w:tcPr>
            <w:tcW w:w="1730" w:type="dxa"/>
            <w:tcMar>
              <w:top w:w="100" w:type="dxa"/>
              <w:left w:w="100" w:type="dxa"/>
              <w:bottom w:w="100" w:type="dxa"/>
              <w:right w:w="100" w:type="dxa"/>
            </w:tcMar>
          </w:tcPr>
          <w:p w14:paraId="0C622077" w14:textId="77777777" w:rsidR="007E1CD6" w:rsidRDefault="008A3491">
            <w:pPr>
              <w:widowControl w:val="0"/>
              <w:spacing w:line="240" w:lineRule="auto"/>
            </w:pPr>
            <w:r>
              <w:t>E</w:t>
            </w:r>
            <w:r>
              <w:rPr>
                <w:vertAlign w:val="subscript"/>
              </w:rPr>
              <w:t>1/2</w:t>
            </w:r>
            <w:r>
              <w:t xml:space="preserve"> for Pd Complex (V vs Fc/Fc</w:t>
            </w:r>
            <w:r>
              <w:rPr>
                <w:vertAlign w:val="superscript"/>
              </w:rPr>
              <w:t>+</w:t>
            </w:r>
            <w:r>
              <w:t>)</w:t>
            </w:r>
          </w:p>
        </w:tc>
      </w:tr>
      <w:tr w:rsidR="007E1CD6" w14:paraId="6E3FBBD5" w14:textId="77777777">
        <w:trPr>
          <w:jc w:val="center"/>
        </w:trPr>
        <w:tc>
          <w:tcPr>
            <w:tcW w:w="1290" w:type="dxa"/>
            <w:tcMar>
              <w:top w:w="100" w:type="dxa"/>
              <w:left w:w="100" w:type="dxa"/>
              <w:bottom w:w="100" w:type="dxa"/>
              <w:right w:w="100" w:type="dxa"/>
            </w:tcMar>
          </w:tcPr>
          <w:p w14:paraId="067F6BEC" w14:textId="77777777" w:rsidR="007E1CD6" w:rsidRDefault="008A3491">
            <w:pPr>
              <w:widowControl w:val="0"/>
              <w:spacing w:line="240" w:lineRule="auto"/>
            </w:pPr>
            <w:r>
              <w:t>3-M</w:t>
            </w:r>
          </w:p>
        </w:tc>
        <w:tc>
          <w:tcPr>
            <w:tcW w:w="2160" w:type="dxa"/>
            <w:tcMar>
              <w:top w:w="100" w:type="dxa"/>
              <w:left w:w="100" w:type="dxa"/>
              <w:bottom w:w="100" w:type="dxa"/>
              <w:right w:w="100" w:type="dxa"/>
            </w:tcMar>
          </w:tcPr>
          <w:p w14:paraId="615BFD9F" w14:textId="77777777" w:rsidR="007E1CD6" w:rsidRDefault="007E1CD6">
            <w:pPr>
              <w:widowControl w:val="0"/>
              <w:spacing w:line="240" w:lineRule="auto"/>
            </w:pPr>
          </w:p>
        </w:tc>
        <w:tc>
          <w:tcPr>
            <w:tcW w:w="1730" w:type="dxa"/>
            <w:tcMar>
              <w:top w:w="100" w:type="dxa"/>
              <w:left w:w="100" w:type="dxa"/>
              <w:bottom w:w="100" w:type="dxa"/>
              <w:right w:w="100" w:type="dxa"/>
            </w:tcMar>
          </w:tcPr>
          <w:p w14:paraId="211DA224" w14:textId="77777777" w:rsidR="007E1CD6" w:rsidRDefault="007E1CD6">
            <w:pPr>
              <w:widowControl w:val="0"/>
              <w:spacing w:line="240" w:lineRule="auto"/>
            </w:pPr>
          </w:p>
        </w:tc>
        <w:tc>
          <w:tcPr>
            <w:tcW w:w="1730" w:type="dxa"/>
            <w:tcMar>
              <w:top w:w="100" w:type="dxa"/>
              <w:left w:w="100" w:type="dxa"/>
              <w:bottom w:w="100" w:type="dxa"/>
              <w:right w:w="100" w:type="dxa"/>
            </w:tcMar>
          </w:tcPr>
          <w:p w14:paraId="08E20FB4" w14:textId="77777777" w:rsidR="007E1CD6" w:rsidRDefault="007E1CD6">
            <w:pPr>
              <w:widowControl w:val="0"/>
              <w:spacing w:line="240" w:lineRule="auto"/>
            </w:pPr>
          </w:p>
        </w:tc>
        <w:tc>
          <w:tcPr>
            <w:tcW w:w="1730" w:type="dxa"/>
            <w:tcMar>
              <w:top w:w="100" w:type="dxa"/>
              <w:left w:w="100" w:type="dxa"/>
              <w:bottom w:w="100" w:type="dxa"/>
              <w:right w:w="100" w:type="dxa"/>
            </w:tcMar>
          </w:tcPr>
          <w:p w14:paraId="638130F3" w14:textId="77777777" w:rsidR="007E1CD6" w:rsidRDefault="007E1CD6">
            <w:pPr>
              <w:widowControl w:val="0"/>
              <w:spacing w:line="240" w:lineRule="auto"/>
            </w:pPr>
          </w:p>
        </w:tc>
      </w:tr>
      <w:tr w:rsidR="007E1CD6" w14:paraId="39F70653" w14:textId="77777777">
        <w:trPr>
          <w:jc w:val="center"/>
        </w:trPr>
        <w:tc>
          <w:tcPr>
            <w:tcW w:w="1290" w:type="dxa"/>
            <w:tcMar>
              <w:top w:w="100" w:type="dxa"/>
              <w:left w:w="100" w:type="dxa"/>
              <w:bottom w:w="100" w:type="dxa"/>
              <w:right w:w="100" w:type="dxa"/>
            </w:tcMar>
          </w:tcPr>
          <w:p w14:paraId="1E15C741" w14:textId="77777777" w:rsidR="007E1CD6" w:rsidRDefault="008A3491">
            <w:pPr>
              <w:widowControl w:val="0"/>
              <w:spacing w:line="240" w:lineRule="auto"/>
            </w:pPr>
            <w:r>
              <w:t>5-M</w:t>
            </w:r>
          </w:p>
        </w:tc>
        <w:tc>
          <w:tcPr>
            <w:tcW w:w="2160" w:type="dxa"/>
            <w:tcMar>
              <w:top w:w="100" w:type="dxa"/>
              <w:left w:w="100" w:type="dxa"/>
              <w:bottom w:w="100" w:type="dxa"/>
              <w:right w:w="100" w:type="dxa"/>
            </w:tcMar>
          </w:tcPr>
          <w:p w14:paraId="4489B93E" w14:textId="77777777" w:rsidR="007E1CD6" w:rsidRDefault="007E1CD6">
            <w:pPr>
              <w:widowControl w:val="0"/>
              <w:spacing w:line="240" w:lineRule="auto"/>
            </w:pPr>
          </w:p>
        </w:tc>
        <w:tc>
          <w:tcPr>
            <w:tcW w:w="1730" w:type="dxa"/>
            <w:tcMar>
              <w:top w:w="100" w:type="dxa"/>
              <w:left w:w="100" w:type="dxa"/>
              <w:bottom w:w="100" w:type="dxa"/>
              <w:right w:w="100" w:type="dxa"/>
            </w:tcMar>
          </w:tcPr>
          <w:p w14:paraId="729454F0" w14:textId="77777777" w:rsidR="007E1CD6" w:rsidRDefault="007E1CD6">
            <w:pPr>
              <w:widowControl w:val="0"/>
              <w:spacing w:line="240" w:lineRule="auto"/>
            </w:pPr>
          </w:p>
        </w:tc>
        <w:tc>
          <w:tcPr>
            <w:tcW w:w="1730" w:type="dxa"/>
            <w:tcMar>
              <w:top w:w="100" w:type="dxa"/>
              <w:left w:w="100" w:type="dxa"/>
              <w:bottom w:w="100" w:type="dxa"/>
              <w:right w:w="100" w:type="dxa"/>
            </w:tcMar>
          </w:tcPr>
          <w:p w14:paraId="3F8B7E16" w14:textId="77777777" w:rsidR="007E1CD6" w:rsidRDefault="007E1CD6">
            <w:pPr>
              <w:widowControl w:val="0"/>
              <w:spacing w:line="240" w:lineRule="auto"/>
            </w:pPr>
          </w:p>
        </w:tc>
        <w:tc>
          <w:tcPr>
            <w:tcW w:w="1730" w:type="dxa"/>
            <w:tcMar>
              <w:top w:w="100" w:type="dxa"/>
              <w:left w:w="100" w:type="dxa"/>
              <w:bottom w:w="100" w:type="dxa"/>
              <w:right w:w="100" w:type="dxa"/>
            </w:tcMar>
          </w:tcPr>
          <w:p w14:paraId="6570F86B" w14:textId="77777777" w:rsidR="007E1CD6" w:rsidRDefault="007E1CD6">
            <w:pPr>
              <w:widowControl w:val="0"/>
              <w:spacing w:line="240" w:lineRule="auto"/>
            </w:pPr>
          </w:p>
        </w:tc>
      </w:tr>
      <w:tr w:rsidR="007E1CD6" w14:paraId="4EC3BBF6" w14:textId="77777777">
        <w:trPr>
          <w:jc w:val="center"/>
        </w:trPr>
        <w:tc>
          <w:tcPr>
            <w:tcW w:w="1290" w:type="dxa"/>
            <w:tcMar>
              <w:top w:w="100" w:type="dxa"/>
              <w:left w:w="100" w:type="dxa"/>
              <w:bottom w:w="100" w:type="dxa"/>
              <w:right w:w="100" w:type="dxa"/>
            </w:tcMar>
          </w:tcPr>
          <w:p w14:paraId="54BA75BE" w14:textId="77777777" w:rsidR="007E1CD6" w:rsidRDefault="008A3491">
            <w:pPr>
              <w:widowControl w:val="0"/>
              <w:spacing w:line="240" w:lineRule="auto"/>
            </w:pPr>
            <w:r>
              <w:t>11-M</w:t>
            </w:r>
          </w:p>
        </w:tc>
        <w:tc>
          <w:tcPr>
            <w:tcW w:w="2160" w:type="dxa"/>
            <w:tcMar>
              <w:top w:w="100" w:type="dxa"/>
              <w:left w:w="100" w:type="dxa"/>
              <w:bottom w:w="100" w:type="dxa"/>
              <w:right w:w="100" w:type="dxa"/>
            </w:tcMar>
          </w:tcPr>
          <w:p w14:paraId="1043E0D4" w14:textId="77777777" w:rsidR="007E1CD6" w:rsidRDefault="007E1CD6">
            <w:pPr>
              <w:widowControl w:val="0"/>
              <w:spacing w:line="240" w:lineRule="auto"/>
            </w:pPr>
          </w:p>
        </w:tc>
        <w:tc>
          <w:tcPr>
            <w:tcW w:w="1730" w:type="dxa"/>
            <w:tcMar>
              <w:top w:w="100" w:type="dxa"/>
              <w:left w:w="100" w:type="dxa"/>
              <w:bottom w:w="100" w:type="dxa"/>
              <w:right w:w="100" w:type="dxa"/>
            </w:tcMar>
          </w:tcPr>
          <w:p w14:paraId="1714E096" w14:textId="77777777" w:rsidR="007E1CD6" w:rsidRDefault="007E1CD6">
            <w:pPr>
              <w:widowControl w:val="0"/>
              <w:spacing w:line="240" w:lineRule="auto"/>
            </w:pPr>
          </w:p>
        </w:tc>
        <w:tc>
          <w:tcPr>
            <w:tcW w:w="1730" w:type="dxa"/>
            <w:tcMar>
              <w:top w:w="100" w:type="dxa"/>
              <w:left w:w="100" w:type="dxa"/>
              <w:bottom w:w="100" w:type="dxa"/>
              <w:right w:w="100" w:type="dxa"/>
            </w:tcMar>
          </w:tcPr>
          <w:p w14:paraId="16F89D7B" w14:textId="77777777" w:rsidR="007E1CD6" w:rsidRDefault="007E1CD6">
            <w:pPr>
              <w:widowControl w:val="0"/>
              <w:spacing w:line="240" w:lineRule="auto"/>
            </w:pPr>
          </w:p>
        </w:tc>
        <w:tc>
          <w:tcPr>
            <w:tcW w:w="1730" w:type="dxa"/>
            <w:tcMar>
              <w:top w:w="100" w:type="dxa"/>
              <w:left w:w="100" w:type="dxa"/>
              <w:bottom w:w="100" w:type="dxa"/>
              <w:right w:w="100" w:type="dxa"/>
            </w:tcMar>
          </w:tcPr>
          <w:p w14:paraId="5ABE39FE" w14:textId="77777777" w:rsidR="007E1CD6" w:rsidRDefault="007E1CD6">
            <w:pPr>
              <w:widowControl w:val="0"/>
              <w:spacing w:line="240" w:lineRule="auto"/>
            </w:pPr>
          </w:p>
        </w:tc>
      </w:tr>
    </w:tbl>
    <w:p w14:paraId="460E9B6B" w14:textId="77777777" w:rsidR="007E1CD6" w:rsidRDefault="008A3491">
      <w:pPr>
        <w:numPr>
          <w:ilvl w:val="0"/>
          <w:numId w:val="1"/>
        </w:numPr>
        <w:ind w:hanging="360"/>
        <w:contextualSpacing/>
      </w:pPr>
      <w:r>
        <w:t xml:space="preserve">In which two complexes in question 5 do the phosphine substituents change and the pincer backbone remain constant?  How do the values of </w:t>
      </w:r>
      <w:r>
        <w:rPr>
          <w:rFonts w:ascii="STIXGeneral-Regular" w:hAnsi="STIXGeneral-Regular" w:cs="STIXGeneral-Regular"/>
        </w:rPr>
        <w:t>𝜈</w:t>
      </w:r>
      <w:r>
        <w:t xml:space="preserve">(CO) </w:t>
      </w:r>
      <w:r w:rsidR="00164CEC">
        <w:t xml:space="preserve">for these two complexes </w:t>
      </w:r>
      <w:r>
        <w:t xml:space="preserve">change?  </w:t>
      </w:r>
    </w:p>
    <w:p w14:paraId="396D238D" w14:textId="77777777" w:rsidR="007E1CD6" w:rsidRDefault="008A3491">
      <w:pPr>
        <w:numPr>
          <w:ilvl w:val="0"/>
          <w:numId w:val="1"/>
        </w:numPr>
        <w:ind w:hanging="360"/>
        <w:contextualSpacing/>
      </w:pPr>
      <w:r>
        <w:t xml:space="preserve">Which phosphine substituent in these complexes do you expect </w:t>
      </w:r>
      <w:r w:rsidR="006D6CB9">
        <w:t xml:space="preserve">to </w:t>
      </w:r>
      <w:r>
        <w:t>donate more electron density to the metal?  Why?</w:t>
      </w:r>
    </w:p>
    <w:p w14:paraId="2AF99D3C" w14:textId="77777777" w:rsidR="008A3491" w:rsidRDefault="008A3491" w:rsidP="001844BF">
      <w:pPr>
        <w:numPr>
          <w:ilvl w:val="0"/>
          <w:numId w:val="1"/>
        </w:numPr>
        <w:ind w:hanging="360"/>
        <w:contextualSpacing/>
      </w:pPr>
      <w:r>
        <w:t xml:space="preserve">Using what we’ve learned about molecular orbitals and back-bonding, explain the trend you see in IR frequencies between compounds 3-RhCO and 11-RhCO.  Include sketches in your answer.  </w:t>
      </w:r>
    </w:p>
    <w:p w14:paraId="4511C570" w14:textId="77777777" w:rsidR="006527E1" w:rsidRPr="00E76329" w:rsidRDefault="006527E1" w:rsidP="006527E1">
      <w:pPr>
        <w:numPr>
          <w:ilvl w:val="0"/>
          <w:numId w:val="1"/>
        </w:numPr>
        <w:ind w:hanging="360"/>
        <w:contextualSpacing/>
      </w:pPr>
      <w:r w:rsidRPr="00E76329">
        <w:t>In which two Pd complexes in</w:t>
      </w:r>
      <w:r>
        <w:t xml:space="preserve"> question 5</w:t>
      </w:r>
      <w:r w:rsidRPr="00E76329">
        <w:t xml:space="preserve"> did the substituent on the ligand backbone change? How does this change the redox potentials of the Pd complexes?</w:t>
      </w:r>
    </w:p>
    <w:p w14:paraId="55D02DD5" w14:textId="77777777" w:rsidR="007E1CD6" w:rsidRDefault="008A3491">
      <w:pPr>
        <w:numPr>
          <w:ilvl w:val="0"/>
          <w:numId w:val="1"/>
        </w:numPr>
        <w:ind w:hanging="360"/>
        <w:contextualSpacing/>
      </w:pPr>
      <w:r>
        <w:t>Which ligand backbone substituent is capable of donating more electron density to the complex?</w:t>
      </w:r>
    </w:p>
    <w:p w14:paraId="2E7B1D8C" w14:textId="77777777" w:rsidR="007E1CD6" w:rsidRDefault="008A3491" w:rsidP="007544C5">
      <w:pPr>
        <w:numPr>
          <w:ilvl w:val="0"/>
          <w:numId w:val="1"/>
        </w:numPr>
        <w:ind w:hanging="360"/>
        <w:contextualSpacing/>
      </w:pPr>
      <w:r>
        <w:t xml:space="preserve">Recognizing that oxidation involves removing an electron, explain the observed correlation between ligand backbone substitution and redox potential for the </w:t>
      </w:r>
      <w:proofErr w:type="spellStart"/>
      <w:r>
        <w:t>PdCl</w:t>
      </w:r>
      <w:proofErr w:type="spellEnd"/>
      <w:r>
        <w:t xml:space="preserve"> complex. </w:t>
      </w:r>
    </w:p>
    <w:p w14:paraId="44293D2E" w14:textId="77777777" w:rsidR="007E1CD6" w:rsidRDefault="008A3491">
      <w:pPr>
        <w:numPr>
          <w:ilvl w:val="0"/>
          <w:numId w:val="1"/>
        </w:numPr>
        <w:ind w:hanging="360"/>
        <w:contextualSpacing/>
      </w:pPr>
      <w:r>
        <w:t>According to the table in Question 5, what is the change in v(CO) for 3-Rh(CO) and 11-Rh(CO)?</w:t>
      </w:r>
    </w:p>
    <w:p w14:paraId="7D1CE5D3" w14:textId="77777777" w:rsidR="007E1CD6" w:rsidRDefault="008A3491">
      <w:pPr>
        <w:numPr>
          <w:ilvl w:val="0"/>
          <w:numId w:val="1"/>
        </w:numPr>
        <w:ind w:hanging="360"/>
        <w:contextualSpacing/>
      </w:pPr>
      <w:r>
        <w:t>According to the table in Question 5, what is the change in redox potentials for 3-PdCl and 11-PdCl?</w:t>
      </w:r>
    </w:p>
    <w:p w14:paraId="58A9C0DE" w14:textId="77777777" w:rsidR="007E1CD6" w:rsidRDefault="008A3491">
      <w:pPr>
        <w:numPr>
          <w:ilvl w:val="0"/>
          <w:numId w:val="1"/>
        </w:numPr>
        <w:ind w:hanging="360"/>
        <w:contextualSpacing/>
      </w:pPr>
      <w:r>
        <w:t>Does changing the substituent on the phosphine have an effect on the v(CO) (and thus the “electron richness” of the metal center)?  If the redox event w</w:t>
      </w:r>
      <w:r w:rsidR="007544C5">
        <w:t>ere located on the metal center</w:t>
      </w:r>
      <w:r>
        <w:t>, would you then expect a correlated change in the redox potential of the complex? Why</w:t>
      </w:r>
      <w:r w:rsidR="00C400CB">
        <w:t xml:space="preserve"> or why not</w:t>
      </w:r>
      <w:r>
        <w:t>?</w:t>
      </w:r>
    </w:p>
    <w:p w14:paraId="0358F02D" w14:textId="77777777" w:rsidR="007E1CD6" w:rsidRDefault="008A3491">
      <w:pPr>
        <w:numPr>
          <w:ilvl w:val="0"/>
          <w:numId w:val="1"/>
        </w:numPr>
        <w:ind w:hanging="360"/>
        <w:contextualSpacing/>
      </w:pPr>
      <w:r>
        <w:t>Now let’s focus on the substituent on the pincer backbone.  According to the table in Question 5, what is the change in v(CO) for 3-Rh(CO) and 5-Rh(CO)?</w:t>
      </w:r>
    </w:p>
    <w:p w14:paraId="06029491" w14:textId="77777777" w:rsidR="007E1CD6" w:rsidRDefault="008A3491">
      <w:pPr>
        <w:numPr>
          <w:ilvl w:val="0"/>
          <w:numId w:val="1"/>
        </w:numPr>
        <w:ind w:hanging="360"/>
        <w:contextualSpacing/>
      </w:pPr>
      <w:r>
        <w:t>According to the table in Question 5, what is the change in the redox potentials of 3-PdCl and 5-PdCl?</w:t>
      </w:r>
    </w:p>
    <w:p w14:paraId="2C0A2437" w14:textId="77777777" w:rsidR="007E1CD6" w:rsidRDefault="008A3491">
      <w:pPr>
        <w:numPr>
          <w:ilvl w:val="0"/>
          <w:numId w:val="1"/>
        </w:numPr>
        <w:ind w:hanging="360"/>
        <w:contextualSpacing/>
      </w:pPr>
      <w:r>
        <w:t xml:space="preserve">Compare the two sets of data you just collected in the above questions.  If the metal is where the redox event occurs (again, where an electron gets removed), </w:t>
      </w:r>
      <w:r w:rsidR="00C400CB">
        <w:t xml:space="preserve">would you </w:t>
      </w:r>
      <w:r w:rsidR="00C400CB">
        <w:lastRenderedPageBreak/>
        <w:t>predict a change in</w:t>
      </w:r>
      <w:r>
        <w:t xml:space="preserve"> that substituent </w:t>
      </w:r>
      <w:r w:rsidR="00C400CB">
        <w:t xml:space="preserve">to </w:t>
      </w:r>
      <w:r>
        <w:t>affect the electron richness of the metal and thus the v(CO)?  Is this what is observed based on your previous answers?  How does this conclusion support the idea that these ligands are redox non-innocent?</w:t>
      </w:r>
    </w:p>
    <w:p w14:paraId="1C1C2BE6" w14:textId="77777777" w:rsidR="007E1CD6" w:rsidRDefault="008A3491">
      <w:pPr>
        <w:numPr>
          <w:ilvl w:val="0"/>
          <w:numId w:val="1"/>
        </w:numPr>
        <w:ind w:hanging="360"/>
        <w:contextualSpacing/>
      </w:pPr>
      <w:r>
        <w:t>Finally, using the data from your table and the text, which has the most effect on the color change</w:t>
      </w:r>
      <w:r w:rsidR="00014F81">
        <w:t>:</w:t>
      </w:r>
      <w:r>
        <w:t xml:space="preserve"> the pincer backbone substitution or the phosphine substituents? Describe the relationship between the nature of the substituent and the color of the complex.</w:t>
      </w:r>
    </w:p>
    <w:p w14:paraId="7FCCC8D4" w14:textId="77777777" w:rsidR="007E1CD6" w:rsidRDefault="008A3491">
      <w:pPr>
        <w:numPr>
          <w:ilvl w:val="0"/>
          <w:numId w:val="1"/>
        </w:numPr>
        <w:ind w:hanging="360"/>
        <w:contextualSpacing/>
      </w:pPr>
      <w:r>
        <w:t>Using what we’ve learned about colors of organometallic complexes, speculate on the correlation between the structure and electronics of the pincer ligands in the paper.  What possible electronic transitions may be responsible for the colors of these complexes?  Explain your reasoning.</w:t>
      </w:r>
    </w:p>
    <w:p w14:paraId="6E4168A5" w14:textId="77777777" w:rsidR="007E1CD6" w:rsidRDefault="007E1CD6"/>
    <w:p w14:paraId="5E58770E" w14:textId="77777777" w:rsidR="007E1CD6" w:rsidRDefault="007E1CD6"/>
    <w:sectPr w:rsidR="007E1CD6" w:rsidSect="006F17E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888B8" w14:textId="77777777" w:rsidR="00D95812" w:rsidRDefault="00D95812" w:rsidP="007544C5">
      <w:pPr>
        <w:spacing w:line="240" w:lineRule="auto"/>
      </w:pPr>
      <w:r>
        <w:separator/>
      </w:r>
    </w:p>
  </w:endnote>
  <w:endnote w:type="continuationSeparator" w:id="0">
    <w:p w14:paraId="748E9912" w14:textId="77777777" w:rsidR="00D95812" w:rsidRDefault="00D95812" w:rsidP="007544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Nova Mono">
    <w:altName w:val="Times New Roman"/>
    <w:charset w:val="00"/>
    <w:family w:val="auto"/>
    <w:pitch w:val="default"/>
  </w:font>
  <w:font w:name="STIXGeneral-Regular">
    <w:altName w:val="STIXGeneral"/>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A8086" w14:textId="77777777" w:rsidR="007544C5" w:rsidRDefault="007544C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E875F" w14:textId="77777777" w:rsidR="007544C5" w:rsidRDefault="007544C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F4E7E" w14:textId="77777777" w:rsidR="007544C5" w:rsidRDefault="007544C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0E4BD" w14:textId="77777777" w:rsidR="00D95812" w:rsidRDefault="00D95812" w:rsidP="007544C5">
      <w:pPr>
        <w:spacing w:line="240" w:lineRule="auto"/>
      </w:pPr>
      <w:r>
        <w:separator/>
      </w:r>
    </w:p>
  </w:footnote>
  <w:footnote w:type="continuationSeparator" w:id="0">
    <w:p w14:paraId="47D5D094" w14:textId="77777777" w:rsidR="00D95812" w:rsidRDefault="00D95812" w:rsidP="007544C5">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A5B3A" w14:textId="77777777" w:rsidR="007544C5" w:rsidRDefault="007544C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3493B" w14:textId="77777777" w:rsidR="007544C5" w:rsidRPr="007544C5" w:rsidRDefault="007544C5" w:rsidP="007544C5">
    <w:pPr>
      <w:spacing w:line="240" w:lineRule="auto"/>
      <w:rPr>
        <w:rFonts w:ascii="Times New Roman" w:eastAsia="Times New Roman" w:hAnsi="Times New Roman" w:cs="Times New Roman"/>
        <w:color w:val="auto"/>
        <w:sz w:val="24"/>
        <w:szCs w:val="24"/>
      </w:rPr>
    </w:pPr>
    <w:r w:rsidRPr="007544C5">
      <w:rPr>
        <w:rFonts w:eastAsia="Times New Roman"/>
        <w:sz w:val="20"/>
        <w:szCs w:val="20"/>
      </w:rPr>
      <w:t>Created by Craig J. Donahue, University of Michigan-Dearborn (</w:t>
    </w:r>
    <w:hyperlink r:id="rId1" w:history="1">
      <w:r w:rsidRPr="007544C5">
        <w:rPr>
          <w:rFonts w:eastAsia="Times New Roman"/>
          <w:color w:val="1155CC"/>
          <w:sz w:val="20"/>
          <w:szCs w:val="20"/>
          <w:u w:val="single"/>
        </w:rPr>
        <w:t>cdonahue@umich.edu</w:t>
      </w:r>
    </w:hyperlink>
    <w:r w:rsidRPr="007544C5">
      <w:rPr>
        <w:rFonts w:eastAsia="Times New Roman"/>
        <w:sz w:val="20"/>
        <w:szCs w:val="20"/>
      </w:rPr>
      <w:t xml:space="preserve">), David M. </w:t>
    </w:r>
    <w:proofErr w:type="spellStart"/>
    <w:r w:rsidRPr="007544C5">
      <w:rPr>
        <w:rFonts w:eastAsia="Times New Roman"/>
        <w:sz w:val="20"/>
        <w:szCs w:val="20"/>
      </w:rPr>
      <w:t>Eichhorn</w:t>
    </w:r>
    <w:proofErr w:type="spellEnd"/>
    <w:r w:rsidRPr="007544C5">
      <w:rPr>
        <w:rFonts w:eastAsia="Times New Roman"/>
        <w:sz w:val="20"/>
        <w:szCs w:val="20"/>
      </w:rPr>
      <w:t>, Wichita State University (</w:t>
    </w:r>
    <w:hyperlink r:id="rId2" w:history="1">
      <w:r w:rsidRPr="007544C5">
        <w:rPr>
          <w:rFonts w:eastAsia="Times New Roman"/>
          <w:color w:val="1155CC"/>
          <w:sz w:val="20"/>
          <w:szCs w:val="20"/>
          <w:u w:val="single"/>
        </w:rPr>
        <w:t>david.eichhorn@wichita.edu</w:t>
      </w:r>
    </w:hyperlink>
    <w:r w:rsidRPr="007544C5">
      <w:rPr>
        <w:rFonts w:eastAsia="Times New Roman"/>
        <w:sz w:val="20"/>
        <w:szCs w:val="20"/>
      </w:rPr>
      <w:t xml:space="preserve">), Sam </w:t>
    </w:r>
    <w:proofErr w:type="spellStart"/>
    <w:r w:rsidRPr="007544C5">
      <w:rPr>
        <w:rFonts w:eastAsia="Times New Roman"/>
        <w:sz w:val="20"/>
        <w:szCs w:val="20"/>
      </w:rPr>
      <w:t>Esarey</w:t>
    </w:r>
    <w:proofErr w:type="spellEnd"/>
    <w:r w:rsidRPr="007544C5">
      <w:rPr>
        <w:rFonts w:eastAsia="Times New Roman"/>
        <w:sz w:val="20"/>
        <w:szCs w:val="20"/>
      </w:rPr>
      <w:t>, University of Michigan-Ann Arbor (</w:t>
    </w:r>
    <w:hyperlink r:id="rId3" w:history="1">
      <w:r w:rsidRPr="007544C5">
        <w:rPr>
          <w:rFonts w:eastAsia="Times New Roman"/>
          <w:color w:val="1155CC"/>
          <w:sz w:val="20"/>
          <w:szCs w:val="20"/>
          <w:u w:val="single"/>
        </w:rPr>
        <w:t>slesary@umich.edu</w:t>
      </w:r>
    </w:hyperlink>
    <w:r w:rsidRPr="007544C5">
      <w:rPr>
        <w:rFonts w:eastAsia="Times New Roman"/>
        <w:sz w:val="20"/>
        <w:szCs w:val="20"/>
      </w:rPr>
      <w:t xml:space="preserve">), Kristy </w:t>
    </w:r>
    <w:proofErr w:type="spellStart"/>
    <w:r w:rsidRPr="007544C5">
      <w:rPr>
        <w:rFonts w:eastAsia="Times New Roman"/>
        <w:sz w:val="20"/>
        <w:szCs w:val="20"/>
      </w:rPr>
      <w:t>Mardis</w:t>
    </w:r>
    <w:proofErr w:type="spellEnd"/>
    <w:r w:rsidRPr="007544C5">
      <w:rPr>
        <w:rFonts w:eastAsia="Times New Roman"/>
        <w:sz w:val="20"/>
        <w:szCs w:val="20"/>
      </w:rPr>
      <w:t>, Chicago State University (</w:t>
    </w:r>
    <w:hyperlink r:id="rId4" w:history="1">
      <w:r w:rsidRPr="007544C5">
        <w:rPr>
          <w:rFonts w:eastAsia="Times New Roman"/>
          <w:color w:val="1155CC"/>
          <w:sz w:val="20"/>
          <w:szCs w:val="20"/>
          <w:u w:val="single"/>
        </w:rPr>
        <w:t>kmardis@csu.edu</w:t>
      </w:r>
    </w:hyperlink>
    <w:r w:rsidRPr="007544C5">
      <w:rPr>
        <w:rFonts w:eastAsia="Times New Roman"/>
        <w:sz w:val="20"/>
        <w:szCs w:val="20"/>
      </w:rPr>
      <w:t xml:space="preserve">), Terrie </w:t>
    </w:r>
    <w:proofErr w:type="spellStart"/>
    <w:r w:rsidRPr="007544C5">
      <w:rPr>
        <w:rFonts w:eastAsia="Times New Roman"/>
        <w:sz w:val="20"/>
        <w:szCs w:val="20"/>
      </w:rPr>
      <w:t>Salupo</w:t>
    </w:r>
    <w:proofErr w:type="spellEnd"/>
    <w:r w:rsidRPr="007544C5">
      <w:rPr>
        <w:rFonts w:eastAsia="Times New Roman"/>
        <w:sz w:val="20"/>
        <w:szCs w:val="20"/>
      </w:rPr>
      <w:t>-Bryant, Manchester University (</w:t>
    </w:r>
    <w:hyperlink r:id="rId5" w:history="1">
      <w:r w:rsidRPr="007544C5">
        <w:rPr>
          <w:rFonts w:eastAsia="Times New Roman"/>
          <w:color w:val="1155CC"/>
          <w:sz w:val="20"/>
          <w:szCs w:val="20"/>
          <w:u w:val="single"/>
        </w:rPr>
        <w:t>tsalupo@manchester.edu</w:t>
      </w:r>
    </w:hyperlink>
    <w:r w:rsidRPr="007544C5">
      <w:rPr>
        <w:rFonts w:eastAsia="Times New Roman"/>
        <w:sz w:val="20"/>
        <w:szCs w:val="20"/>
      </w:rPr>
      <w:t>), and R. Bryan Sears, Emmanuel College (</w:t>
    </w:r>
    <w:hyperlink r:id="rId6" w:history="1">
      <w:r w:rsidRPr="007544C5">
        <w:rPr>
          <w:rFonts w:eastAsia="Times New Roman"/>
          <w:color w:val="1155CC"/>
          <w:sz w:val="20"/>
          <w:szCs w:val="20"/>
          <w:u w:val="single"/>
        </w:rPr>
        <w:t>searsr@emmanuel.edu</w:t>
      </w:r>
    </w:hyperlink>
    <w:r w:rsidRPr="007544C5">
      <w:rPr>
        <w:rFonts w:eastAsia="Times New Roman"/>
        <w:sz w:val="20"/>
        <w:szCs w:val="20"/>
      </w:rPr>
      <w:t xml:space="preserve">), and posted on </w:t>
    </w:r>
    <w:proofErr w:type="spellStart"/>
    <w:r w:rsidRPr="007544C5">
      <w:rPr>
        <w:rFonts w:eastAsia="Times New Roman"/>
        <w:sz w:val="20"/>
        <w:szCs w:val="20"/>
      </w:rPr>
      <w:t>VIPEr</w:t>
    </w:r>
    <w:proofErr w:type="spellEnd"/>
    <w:r w:rsidRPr="007544C5">
      <w:rPr>
        <w:rFonts w:eastAsia="Times New Roman"/>
        <w:sz w:val="20"/>
        <w:szCs w:val="20"/>
      </w:rPr>
      <w:t xml:space="preserve"> (</w:t>
    </w:r>
    <w:hyperlink r:id="rId7" w:history="1">
      <w:r w:rsidRPr="007544C5">
        <w:rPr>
          <w:rFonts w:eastAsia="Times New Roman"/>
          <w:color w:val="0000FF"/>
          <w:sz w:val="20"/>
          <w:szCs w:val="20"/>
          <w:u w:val="single"/>
        </w:rPr>
        <w:t>www.ionicviper.org</w:t>
      </w:r>
    </w:hyperlink>
    <w:r w:rsidRPr="007544C5">
      <w:rPr>
        <w:rFonts w:eastAsia="Times New Roman"/>
        <w:sz w:val="20"/>
        <w:szCs w:val="20"/>
      </w:rPr>
      <w:t>) on June 30, 2016.  Copyright 2016.  This work is licensed under the Creative Commons Attribution-</w:t>
    </w:r>
    <w:proofErr w:type="spellStart"/>
    <w:r w:rsidRPr="007544C5">
      <w:rPr>
        <w:rFonts w:eastAsia="Times New Roman"/>
        <w:sz w:val="20"/>
        <w:szCs w:val="20"/>
      </w:rPr>
      <w:t>NonCommerical</w:t>
    </w:r>
    <w:proofErr w:type="spellEnd"/>
    <w:r w:rsidRPr="007544C5">
      <w:rPr>
        <w:rFonts w:eastAsia="Times New Roman"/>
        <w:sz w:val="20"/>
        <w:szCs w:val="20"/>
      </w:rPr>
      <w:t>-</w:t>
    </w:r>
    <w:proofErr w:type="spellStart"/>
    <w:r w:rsidRPr="007544C5">
      <w:rPr>
        <w:rFonts w:eastAsia="Times New Roman"/>
        <w:sz w:val="20"/>
        <w:szCs w:val="20"/>
      </w:rPr>
      <w:t>ShareAlike</w:t>
    </w:r>
    <w:proofErr w:type="spellEnd"/>
    <w:r w:rsidRPr="007544C5">
      <w:rPr>
        <w:rFonts w:eastAsia="Times New Roman"/>
        <w:sz w:val="20"/>
        <w:szCs w:val="20"/>
      </w:rPr>
      <w:t xml:space="preserve"> 4.0 International</w:t>
    </w:r>
    <w:r w:rsidRPr="007544C5">
      <w:rPr>
        <w:rFonts w:ascii="Times New Roman" w:eastAsia="Times New Roman" w:hAnsi="Times New Roman" w:cs="Times New Roman"/>
        <w:sz w:val="24"/>
        <w:szCs w:val="24"/>
      </w:rPr>
      <w:t xml:space="preserve"> </w:t>
    </w:r>
    <w:r w:rsidRPr="007544C5">
      <w:rPr>
        <w:rFonts w:eastAsia="Times New Roman"/>
        <w:sz w:val="20"/>
        <w:szCs w:val="20"/>
      </w:rPr>
      <w:t xml:space="preserve">License. To view a copy of this license visit </w:t>
    </w:r>
    <w:hyperlink r:id="rId8" w:history="1">
      <w:r w:rsidRPr="007544C5">
        <w:rPr>
          <w:rFonts w:eastAsia="Times New Roman"/>
          <w:color w:val="0000FF"/>
          <w:sz w:val="20"/>
          <w:szCs w:val="20"/>
          <w:u w:val="single"/>
        </w:rPr>
        <w:t>http://creativecommons.org/about/license/</w:t>
      </w:r>
    </w:hyperlink>
    <w:r w:rsidRPr="007544C5">
      <w:rPr>
        <w:rFonts w:eastAsia="Times New Roman"/>
        <w:sz w:val="20"/>
        <w:szCs w:val="20"/>
      </w:rPr>
      <w:t>.</w:t>
    </w:r>
  </w:p>
  <w:p w14:paraId="0D5D18AE" w14:textId="77777777" w:rsidR="007544C5" w:rsidRDefault="007544C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AB342" w14:textId="77777777" w:rsidR="007544C5" w:rsidRDefault="007544C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D5C93"/>
    <w:multiLevelType w:val="multilevel"/>
    <w:tmpl w:val="5DEEFEE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CD6"/>
    <w:rsid w:val="00014F81"/>
    <w:rsid w:val="00164CEC"/>
    <w:rsid w:val="001844BF"/>
    <w:rsid w:val="0040618C"/>
    <w:rsid w:val="006527E1"/>
    <w:rsid w:val="00671533"/>
    <w:rsid w:val="006D6CB9"/>
    <w:rsid w:val="006F17E1"/>
    <w:rsid w:val="007544C5"/>
    <w:rsid w:val="007E1CD6"/>
    <w:rsid w:val="00822B13"/>
    <w:rsid w:val="008A3491"/>
    <w:rsid w:val="00A44857"/>
    <w:rsid w:val="00AF1853"/>
    <w:rsid w:val="00B8648D"/>
    <w:rsid w:val="00C400CB"/>
    <w:rsid w:val="00D958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5CC5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F17E1"/>
  </w:style>
  <w:style w:type="paragraph" w:styleId="Heading1">
    <w:name w:val="heading 1"/>
    <w:basedOn w:val="Normal"/>
    <w:next w:val="Normal"/>
    <w:rsid w:val="006F17E1"/>
    <w:pPr>
      <w:keepNext/>
      <w:keepLines/>
      <w:spacing w:before="400" w:after="120"/>
      <w:contextualSpacing/>
      <w:outlineLvl w:val="0"/>
    </w:pPr>
    <w:rPr>
      <w:sz w:val="40"/>
      <w:szCs w:val="40"/>
    </w:rPr>
  </w:style>
  <w:style w:type="paragraph" w:styleId="Heading2">
    <w:name w:val="heading 2"/>
    <w:basedOn w:val="Normal"/>
    <w:next w:val="Normal"/>
    <w:rsid w:val="006F17E1"/>
    <w:pPr>
      <w:keepNext/>
      <w:keepLines/>
      <w:spacing w:before="360" w:after="120"/>
      <w:contextualSpacing/>
      <w:outlineLvl w:val="1"/>
    </w:pPr>
    <w:rPr>
      <w:sz w:val="32"/>
      <w:szCs w:val="32"/>
    </w:rPr>
  </w:style>
  <w:style w:type="paragraph" w:styleId="Heading3">
    <w:name w:val="heading 3"/>
    <w:basedOn w:val="Normal"/>
    <w:next w:val="Normal"/>
    <w:rsid w:val="006F17E1"/>
    <w:pPr>
      <w:keepNext/>
      <w:keepLines/>
      <w:spacing w:before="320" w:after="80"/>
      <w:contextualSpacing/>
      <w:outlineLvl w:val="2"/>
    </w:pPr>
    <w:rPr>
      <w:color w:val="434343"/>
      <w:sz w:val="28"/>
      <w:szCs w:val="28"/>
    </w:rPr>
  </w:style>
  <w:style w:type="paragraph" w:styleId="Heading4">
    <w:name w:val="heading 4"/>
    <w:basedOn w:val="Normal"/>
    <w:next w:val="Normal"/>
    <w:rsid w:val="006F17E1"/>
    <w:pPr>
      <w:keepNext/>
      <w:keepLines/>
      <w:spacing w:before="280" w:after="80"/>
      <w:contextualSpacing/>
      <w:outlineLvl w:val="3"/>
    </w:pPr>
    <w:rPr>
      <w:color w:val="666666"/>
      <w:sz w:val="24"/>
      <w:szCs w:val="24"/>
    </w:rPr>
  </w:style>
  <w:style w:type="paragraph" w:styleId="Heading5">
    <w:name w:val="heading 5"/>
    <w:basedOn w:val="Normal"/>
    <w:next w:val="Normal"/>
    <w:rsid w:val="006F17E1"/>
    <w:pPr>
      <w:keepNext/>
      <w:keepLines/>
      <w:spacing w:before="240" w:after="80"/>
      <w:contextualSpacing/>
      <w:outlineLvl w:val="4"/>
    </w:pPr>
    <w:rPr>
      <w:color w:val="666666"/>
    </w:rPr>
  </w:style>
  <w:style w:type="paragraph" w:styleId="Heading6">
    <w:name w:val="heading 6"/>
    <w:basedOn w:val="Normal"/>
    <w:next w:val="Normal"/>
    <w:rsid w:val="006F17E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6F17E1"/>
    <w:pPr>
      <w:keepNext/>
      <w:keepLines/>
      <w:spacing w:after="60"/>
      <w:contextualSpacing/>
    </w:pPr>
    <w:rPr>
      <w:sz w:val="52"/>
      <w:szCs w:val="52"/>
    </w:rPr>
  </w:style>
  <w:style w:type="paragraph" w:styleId="Subtitle">
    <w:name w:val="Subtitle"/>
    <w:basedOn w:val="Normal"/>
    <w:next w:val="Normal"/>
    <w:rsid w:val="006F17E1"/>
    <w:pPr>
      <w:keepNext/>
      <w:keepLines/>
      <w:spacing w:after="320"/>
      <w:contextualSpacing/>
    </w:pPr>
    <w:rPr>
      <w:color w:val="666666"/>
      <w:sz w:val="30"/>
      <w:szCs w:val="30"/>
    </w:rPr>
  </w:style>
  <w:style w:type="table" w:customStyle="1" w:styleId="a">
    <w:basedOn w:val="TableNormal"/>
    <w:rsid w:val="006F17E1"/>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6F17E1"/>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6F17E1"/>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6F17E1"/>
    <w:pPr>
      <w:spacing w:line="240" w:lineRule="auto"/>
    </w:pPr>
    <w:rPr>
      <w:sz w:val="24"/>
      <w:szCs w:val="24"/>
    </w:rPr>
  </w:style>
  <w:style w:type="character" w:customStyle="1" w:styleId="CommentTextChar">
    <w:name w:val="Comment Text Char"/>
    <w:basedOn w:val="DefaultParagraphFont"/>
    <w:link w:val="CommentText"/>
    <w:uiPriority w:val="99"/>
    <w:semiHidden/>
    <w:rsid w:val="006F17E1"/>
    <w:rPr>
      <w:sz w:val="24"/>
      <w:szCs w:val="24"/>
    </w:rPr>
  </w:style>
  <w:style w:type="character" w:styleId="CommentReference">
    <w:name w:val="annotation reference"/>
    <w:basedOn w:val="DefaultParagraphFont"/>
    <w:uiPriority w:val="99"/>
    <w:semiHidden/>
    <w:unhideWhenUsed/>
    <w:rsid w:val="006F17E1"/>
    <w:rPr>
      <w:sz w:val="18"/>
      <w:szCs w:val="18"/>
    </w:rPr>
  </w:style>
  <w:style w:type="paragraph" w:styleId="BalloonText">
    <w:name w:val="Balloon Text"/>
    <w:basedOn w:val="Normal"/>
    <w:link w:val="BalloonTextChar"/>
    <w:uiPriority w:val="99"/>
    <w:semiHidden/>
    <w:unhideWhenUsed/>
    <w:rsid w:val="008A3491"/>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A3491"/>
    <w:rPr>
      <w:rFonts w:ascii="Times New Roman" w:hAnsi="Times New Roman" w:cs="Times New Roman"/>
      <w:sz w:val="18"/>
      <w:szCs w:val="18"/>
    </w:rPr>
  </w:style>
  <w:style w:type="paragraph" w:styleId="Header">
    <w:name w:val="header"/>
    <w:basedOn w:val="Normal"/>
    <w:link w:val="HeaderChar"/>
    <w:uiPriority w:val="99"/>
    <w:unhideWhenUsed/>
    <w:rsid w:val="007544C5"/>
    <w:pPr>
      <w:tabs>
        <w:tab w:val="center" w:pos="4680"/>
        <w:tab w:val="right" w:pos="9360"/>
      </w:tabs>
      <w:spacing w:line="240" w:lineRule="auto"/>
    </w:pPr>
  </w:style>
  <w:style w:type="character" w:customStyle="1" w:styleId="HeaderChar">
    <w:name w:val="Header Char"/>
    <w:basedOn w:val="DefaultParagraphFont"/>
    <w:link w:val="Header"/>
    <w:uiPriority w:val="99"/>
    <w:rsid w:val="007544C5"/>
  </w:style>
  <w:style w:type="paragraph" w:styleId="Footer">
    <w:name w:val="footer"/>
    <w:basedOn w:val="Normal"/>
    <w:link w:val="FooterChar"/>
    <w:uiPriority w:val="99"/>
    <w:unhideWhenUsed/>
    <w:rsid w:val="007544C5"/>
    <w:pPr>
      <w:tabs>
        <w:tab w:val="center" w:pos="4680"/>
        <w:tab w:val="right" w:pos="9360"/>
      </w:tabs>
      <w:spacing w:line="240" w:lineRule="auto"/>
    </w:pPr>
  </w:style>
  <w:style w:type="character" w:customStyle="1" w:styleId="FooterChar">
    <w:name w:val="Footer Char"/>
    <w:basedOn w:val="DefaultParagraphFont"/>
    <w:link w:val="Footer"/>
    <w:uiPriority w:val="99"/>
    <w:rsid w:val="007544C5"/>
  </w:style>
  <w:style w:type="character" w:styleId="Hyperlink">
    <w:name w:val="Hyperlink"/>
    <w:basedOn w:val="DefaultParagraphFont"/>
    <w:uiPriority w:val="99"/>
    <w:semiHidden/>
    <w:unhideWhenUsed/>
    <w:rsid w:val="007544C5"/>
    <w:rPr>
      <w:color w:val="0000FF"/>
      <w:u w:val="single"/>
    </w:rPr>
  </w:style>
  <w:style w:type="paragraph" w:styleId="CommentSubject">
    <w:name w:val="annotation subject"/>
    <w:basedOn w:val="CommentText"/>
    <w:next w:val="CommentText"/>
    <w:link w:val="CommentSubjectChar"/>
    <w:uiPriority w:val="99"/>
    <w:semiHidden/>
    <w:unhideWhenUsed/>
    <w:rsid w:val="006D6CB9"/>
    <w:rPr>
      <w:b/>
      <w:bCs/>
      <w:sz w:val="20"/>
      <w:szCs w:val="20"/>
    </w:rPr>
  </w:style>
  <w:style w:type="character" w:customStyle="1" w:styleId="CommentSubjectChar">
    <w:name w:val="Comment Subject Char"/>
    <w:basedOn w:val="CommentTextChar"/>
    <w:link w:val="CommentSubject"/>
    <w:uiPriority w:val="99"/>
    <w:semiHidden/>
    <w:rsid w:val="006D6C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64580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mailto:slesary@umich.edu" TargetMode="External"/><Relationship Id="rId4" Type="http://schemas.openxmlformats.org/officeDocument/2006/relationships/hyperlink" Target="mailto:kmardis@csu.edu" TargetMode="External"/><Relationship Id="rId5" Type="http://schemas.openxmlformats.org/officeDocument/2006/relationships/hyperlink" Target="mailto:tsalupo@manchester.edu" TargetMode="External"/><Relationship Id="rId6" Type="http://schemas.openxmlformats.org/officeDocument/2006/relationships/hyperlink" Target="mailto:searsr@emmanuel.edu" TargetMode="External"/><Relationship Id="rId7" Type="http://schemas.openxmlformats.org/officeDocument/2006/relationships/hyperlink" Target="http://www.ionicviper.org" TargetMode="External"/><Relationship Id="rId8" Type="http://schemas.openxmlformats.org/officeDocument/2006/relationships/hyperlink" Target="http://creativecommons.org/about/license/" TargetMode="External"/><Relationship Id="rId1" Type="http://schemas.openxmlformats.org/officeDocument/2006/relationships/hyperlink" Target="mailto:cdonahue@umich.edu" TargetMode="External"/><Relationship Id="rId2" Type="http://schemas.openxmlformats.org/officeDocument/2006/relationships/hyperlink" Target="mailto:david.eichhorn@wichi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623</Words>
  <Characters>3555</Characters>
  <Application>Microsoft Macintosh Word</Application>
  <DocSecurity>0</DocSecurity>
  <Lines>29</Lines>
  <Paragraphs>8</Paragraphs>
  <ScaleCrop>false</ScaleCrop>
  <Company>University of Michigan-Dearborn</Company>
  <LinksUpToDate>false</LinksUpToDate>
  <CharactersWithSpaces>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 Bryan Sears</cp:lastModifiedBy>
  <cp:revision>3</cp:revision>
  <dcterms:created xsi:type="dcterms:W3CDTF">2016-06-30T17:39:00Z</dcterms:created>
  <dcterms:modified xsi:type="dcterms:W3CDTF">2016-06-30T17:40:00Z</dcterms:modified>
</cp:coreProperties>
</file>