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16F76" w:rsidRDefault="00416F76"/>
    <w:p w14:paraId="00000002" w14:textId="77777777" w:rsidR="00416F76" w:rsidRDefault="006D7B93">
      <w:pPr>
        <w:jc w:val="center"/>
        <w:rPr>
          <w:b/>
        </w:rPr>
      </w:pPr>
      <w:r>
        <w:rPr>
          <w:b/>
        </w:rPr>
        <w:t>1FLO: Relating Electronic Spectra and Ligand Field Strength of NiX</w:t>
      </w:r>
      <w:r>
        <w:rPr>
          <w:b/>
          <w:vertAlign w:val="subscript"/>
        </w:rPr>
        <w:t>4</w:t>
      </w:r>
      <w:r>
        <w:rPr>
          <w:b/>
          <w:vertAlign w:val="superscript"/>
        </w:rPr>
        <w:t>2-</w:t>
      </w:r>
      <w:r>
        <w:rPr>
          <w:b/>
        </w:rPr>
        <w:t xml:space="preserve"> Anions</w:t>
      </w:r>
    </w:p>
    <w:p w14:paraId="00000003" w14:textId="77777777" w:rsidR="00416F76" w:rsidRDefault="006D7B93">
      <w:r>
        <w:t xml:space="preserve">Insert Figure 3 from the following reference: Zheng, B.; Miranda, M. O.; </w:t>
      </w:r>
      <w:proofErr w:type="spellStart"/>
      <w:r>
        <w:t>DiPasquale</w:t>
      </w:r>
      <w:proofErr w:type="spellEnd"/>
      <w:r>
        <w:t xml:space="preserve">, A. G.; </w:t>
      </w:r>
      <w:proofErr w:type="spellStart"/>
      <w:r>
        <w:t>Golen</w:t>
      </w:r>
      <w:proofErr w:type="spellEnd"/>
      <w:r>
        <w:t xml:space="preserve">, J. A.; Rheingold, A. L.; </w:t>
      </w:r>
      <w:proofErr w:type="spellStart"/>
      <w:r>
        <w:t>Doerrer</w:t>
      </w:r>
      <w:proofErr w:type="spellEnd"/>
      <w:r>
        <w:t xml:space="preserve">, L. H. Synthesis and Electronic Spectra of Fluorinated </w:t>
      </w:r>
      <w:proofErr w:type="spellStart"/>
      <w:r>
        <w:t>Aryloxide</w:t>
      </w:r>
      <w:proofErr w:type="spellEnd"/>
      <w:r>
        <w:t xml:space="preserve"> and </w:t>
      </w:r>
      <w:proofErr w:type="spellStart"/>
      <w:r>
        <w:t>Alkoxide</w:t>
      </w:r>
      <w:proofErr w:type="spellEnd"/>
      <w:r>
        <w:t xml:space="preserve"> [NiX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2-</w:t>
      </w:r>
      <w:r>
        <w:t xml:space="preserve"> Anions.  </w:t>
      </w:r>
      <w:proofErr w:type="spellStart"/>
      <w:r>
        <w:rPr>
          <w:i/>
        </w:rPr>
        <w:t>Inorg</w:t>
      </w:r>
      <w:proofErr w:type="spellEnd"/>
      <w:r>
        <w:rPr>
          <w:i/>
        </w:rPr>
        <w:t xml:space="preserve">. Chem. </w:t>
      </w:r>
      <w:r>
        <w:rPr>
          <w:b/>
        </w:rPr>
        <w:t>2009</w:t>
      </w:r>
      <w:r>
        <w:t xml:space="preserve">, </w:t>
      </w:r>
      <w:r>
        <w:rPr>
          <w:i/>
        </w:rPr>
        <w:t>48</w:t>
      </w:r>
      <w:r>
        <w:t>, 4274 - 4276. DOI: 10.1021/ic9003593</w:t>
      </w:r>
    </w:p>
    <w:p w14:paraId="00000004" w14:textId="77777777" w:rsidR="00416F76" w:rsidRDefault="006D7B93">
      <w:r>
        <w:t>It may be advisable to zoom in on the range indicated in Question 4 (12,000 - 6100 cm</w:t>
      </w:r>
      <w:r>
        <w:rPr>
          <w:vertAlign w:val="superscript"/>
        </w:rPr>
        <w:t>-1</w:t>
      </w:r>
      <w:r>
        <w:t>), while still including the Figure legend.</w:t>
      </w:r>
    </w:p>
    <w:p w14:paraId="00000005" w14:textId="77777777" w:rsidR="00416F76" w:rsidRDefault="006D7B93">
      <w:r>
        <w:t>Questions:</w:t>
      </w:r>
    </w:p>
    <w:p w14:paraId="00000006" w14:textId="77777777" w:rsidR="00416F76" w:rsidRDefault="006D7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are the units on the x and y</w:t>
      </w:r>
      <w:r>
        <w:t>-</w:t>
      </w:r>
      <w:r>
        <w:rPr>
          <w:color w:val="000000"/>
        </w:rPr>
        <w:t>axes?</w:t>
      </w:r>
    </w:p>
    <w:p w14:paraId="00000007" w14:textId="77777777" w:rsidR="00416F76" w:rsidRDefault="006D7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Convert 10,400 cm</w:t>
      </w:r>
      <w:r>
        <w:rPr>
          <w:vertAlign w:val="superscript"/>
        </w:rPr>
        <w:t>-1</w:t>
      </w:r>
      <w:r>
        <w:t xml:space="preserve"> to wavelength in units of nm.  Convert 7840 cm</w:t>
      </w:r>
      <w:r>
        <w:rPr>
          <w:vertAlign w:val="superscript"/>
        </w:rPr>
        <w:t>-1</w:t>
      </w:r>
      <w:r>
        <w:t xml:space="preserve"> to wavelength in units of nm.  Which wavelength corresponds to higher energy?   </w:t>
      </w:r>
      <w:r>
        <w:rPr>
          <w:color w:val="000000"/>
        </w:rPr>
        <w:t xml:space="preserve"> </w:t>
      </w:r>
    </w:p>
    <w:p w14:paraId="00000008" w14:textId="77777777" w:rsidR="00416F76" w:rsidRDefault="006D7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 which direction on the x-axis does energy increase?</w:t>
      </w:r>
    </w:p>
    <w:p w14:paraId="00000009" w14:textId="77777777" w:rsidR="00416F76" w:rsidRDefault="006D7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If a d-d transition at 9,000 cm</w:t>
      </w:r>
      <w:r>
        <w:rPr>
          <w:color w:val="000000"/>
          <w:vertAlign w:val="superscript"/>
        </w:rPr>
        <w:t>-1</w:t>
      </w:r>
      <w:r>
        <w:rPr>
          <w:color w:val="000000"/>
        </w:rPr>
        <w:t xml:space="preserve"> is </w:t>
      </w:r>
      <w:proofErr w:type="spellStart"/>
      <w:r>
        <w:rPr>
          <w:color w:val="000000"/>
        </w:rPr>
        <w:t>blueshifted</w:t>
      </w:r>
      <w:proofErr w:type="spellEnd"/>
      <w:r>
        <w:rPr>
          <w:color w:val="000000"/>
        </w:rPr>
        <w:t>, would it be found at a higher or lower wavenumber?  Would this be a higher or lower energy transition?</w:t>
      </w:r>
    </w:p>
    <w:p w14:paraId="0000000A" w14:textId="6F98AE43" w:rsidR="00416F76" w:rsidRDefault="006D7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Consider the d-d transition peaks in the range ~12,000 – 6,100 cm</w:t>
      </w:r>
      <w:r>
        <w:rPr>
          <w:vertAlign w:val="superscript"/>
        </w:rPr>
        <w:t>-1</w:t>
      </w:r>
      <w:r>
        <w:t xml:space="preserve">. </w:t>
      </w:r>
      <w:r>
        <w:rPr>
          <w:color w:val="000000"/>
        </w:rPr>
        <w:t>The ener</w:t>
      </w:r>
      <w:r w:rsidR="00EA0239">
        <w:rPr>
          <w:color w:val="000000"/>
        </w:rPr>
        <w:t>gy of the d-d transitions in this</w:t>
      </w:r>
      <w:r>
        <w:rPr>
          <w:color w:val="000000"/>
        </w:rPr>
        <w:t xml:space="preserve"> range </w:t>
      </w:r>
      <w:bookmarkStart w:id="0" w:name="_GoBack"/>
      <w:bookmarkEnd w:id="0"/>
      <w:r w:rsidR="00EA0239">
        <w:rPr>
          <w:color w:val="000000"/>
        </w:rPr>
        <w:t>correlate</w:t>
      </w:r>
      <w:r>
        <w:rPr>
          <w:color w:val="000000"/>
        </w:rPr>
        <w:t xml:space="preserve"> to the ligand field splitting energy. Based on these data, arrange the compounds in order of increasing ligand field strength in a partial </w:t>
      </w:r>
      <w:proofErr w:type="spellStart"/>
      <w:r>
        <w:rPr>
          <w:color w:val="000000"/>
        </w:rPr>
        <w:t>spectrochemical</w:t>
      </w:r>
      <w:proofErr w:type="spellEnd"/>
      <w:r>
        <w:rPr>
          <w:color w:val="000000"/>
        </w:rPr>
        <w:t xml:space="preserve"> series.</w:t>
      </w:r>
    </w:p>
    <w:p w14:paraId="0000000B" w14:textId="77777777" w:rsidR="00416F76" w:rsidRDefault="006D7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All of these compounds have the same geometries.  What are the two possible geometries for this class of compounds?</w:t>
      </w:r>
    </w:p>
    <w:p w14:paraId="0000000C" w14:textId="77777777" w:rsidR="00416F76" w:rsidRDefault="00416F7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0D" w14:textId="77777777" w:rsidR="00416F76" w:rsidRDefault="00416F7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0E" w14:textId="77777777" w:rsidR="00416F76" w:rsidRDefault="00416F76">
      <w:pPr>
        <w:rPr>
          <w:b/>
        </w:rPr>
      </w:pPr>
    </w:p>
    <w:sectPr w:rsidR="00416F7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3E431" w14:textId="77777777" w:rsidR="00C302FC" w:rsidRDefault="00C302FC">
      <w:pPr>
        <w:spacing w:after="0" w:line="240" w:lineRule="auto"/>
      </w:pPr>
      <w:r>
        <w:separator/>
      </w:r>
    </w:p>
  </w:endnote>
  <w:endnote w:type="continuationSeparator" w:id="0">
    <w:p w14:paraId="4F7EEBA5" w14:textId="77777777" w:rsidR="00C302FC" w:rsidRDefault="00C3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DC75F" w14:textId="77777777" w:rsidR="00C302FC" w:rsidRDefault="00C302FC">
      <w:pPr>
        <w:spacing w:after="0" w:line="240" w:lineRule="auto"/>
      </w:pPr>
      <w:r>
        <w:separator/>
      </w:r>
    </w:p>
  </w:footnote>
  <w:footnote w:type="continuationSeparator" w:id="0">
    <w:p w14:paraId="32B2E7BF" w14:textId="77777777" w:rsidR="00C302FC" w:rsidRDefault="00C3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7777777" w:rsidR="00416F76" w:rsidRDefault="006D7B93">
    <w:pPr>
      <w:tabs>
        <w:tab w:val="center" w:pos="540"/>
        <w:tab w:val="left" w:pos="4410"/>
      </w:tabs>
      <w:spacing w:after="0" w:line="240" w:lineRule="auto"/>
    </w:pPr>
    <w:r>
      <w:rPr>
        <w:rFonts w:ascii="Times New Roman" w:eastAsia="Times New Roman" w:hAnsi="Times New Roman" w:cs="Times New Roman"/>
        <w:sz w:val="20"/>
        <w:szCs w:val="20"/>
      </w:rPr>
      <w:t xml:space="preserve">Created by Wesley S. Farrell, U.S. Naval Academy, Jeremy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Andreatta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Worcester State University, Nate Hartmann, Boston University,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Denyce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Wicht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Suffolk University and posted on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VIPEr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on June 6, 2019.  Copyright 2019. This work is licensed under the Creative Commons Attribution Non-commercial Share Alike License. To view a copy of this license visit 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http://creativecommons.org/about/license/</w:t>
      </w:r>
    </w:hyperlink>
    <w:r>
      <w:rPr>
        <w:rFonts w:ascii="Times New Roman" w:eastAsia="Times New Roman" w:hAnsi="Times New Roman" w:cs="Times New Roman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C1956"/>
    <w:multiLevelType w:val="multilevel"/>
    <w:tmpl w:val="3EE8DB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76"/>
    <w:rsid w:val="00416F76"/>
    <w:rsid w:val="006D7B93"/>
    <w:rsid w:val="0081378F"/>
    <w:rsid w:val="00C302FC"/>
    <w:rsid w:val="00EA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FB71B"/>
  <w15:docId w15:val="{4968948C-CD4E-4CD2-A7E2-68029375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Naval Academy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Farrell, Wesley CIV USNA Annapolis</dc:creator>
  <cp:lastModifiedBy>Farrell, Wesley CIV USNA Annapolis</cp:lastModifiedBy>
  <cp:revision>3</cp:revision>
  <dcterms:created xsi:type="dcterms:W3CDTF">2019-06-06T19:32:00Z</dcterms:created>
  <dcterms:modified xsi:type="dcterms:W3CDTF">2019-06-06T20:02:00Z</dcterms:modified>
</cp:coreProperties>
</file>