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072FA2" w14:textId="77777777" w:rsidR="00C20BA8" w:rsidRDefault="00C20BA8">
      <w:pPr>
        <w:pStyle w:val="Heading4"/>
        <w:keepNext w:val="0"/>
        <w:keepLines w:val="0"/>
        <w:spacing w:before="0" w:after="0"/>
        <w:contextualSpacing w:val="0"/>
        <w:jc w:val="center"/>
      </w:pPr>
      <w:bookmarkStart w:id="0" w:name="_kpt2b5wvn5dm" w:colFirst="0" w:colLast="0"/>
      <w:bookmarkEnd w:id="0"/>
    </w:p>
    <w:p w14:paraId="14BB0F47" w14:textId="77777777" w:rsidR="00C20BA8" w:rsidRDefault="001A5F9B">
      <w:pPr>
        <w:pStyle w:val="Heading4"/>
        <w:keepNext w:val="0"/>
        <w:keepLines w:val="0"/>
        <w:spacing w:before="0" w:after="0"/>
        <w:contextualSpacing w:val="0"/>
        <w:jc w:val="center"/>
      </w:pPr>
      <w:bookmarkStart w:id="1" w:name="_yk94t0mzfjxn" w:colFirst="0" w:colLast="0"/>
      <w:bookmarkEnd w:id="1"/>
      <w:r>
        <w:rPr>
          <w:rFonts w:ascii="Arial" w:eastAsia="Arial" w:hAnsi="Arial" w:cs="Arial"/>
          <w:sz w:val="20"/>
          <w:szCs w:val="20"/>
          <w:highlight w:val="white"/>
        </w:rPr>
        <w:t xml:space="preserve">Redox-Controlled Polymerization of </w:t>
      </w:r>
      <w:proofErr w:type="spellStart"/>
      <w:r>
        <w:rPr>
          <w:rFonts w:ascii="Arial" w:eastAsia="Arial" w:hAnsi="Arial" w:cs="Arial"/>
          <w:sz w:val="20"/>
          <w:szCs w:val="20"/>
          <w:highlight w:val="white"/>
        </w:rPr>
        <w:t>Lactide</w:t>
      </w:r>
      <w:proofErr w:type="spellEnd"/>
      <w:r>
        <w:rPr>
          <w:rFonts w:ascii="Arial" w:eastAsia="Arial" w:hAnsi="Arial" w:cs="Arial"/>
          <w:sz w:val="20"/>
          <w:szCs w:val="20"/>
          <w:highlight w:val="white"/>
        </w:rPr>
        <w:t xml:space="preserve"> Catalyzed by </w:t>
      </w:r>
      <w:proofErr w:type="spellStart"/>
      <w:proofErr w:type="gramStart"/>
      <w:r>
        <w:rPr>
          <w:rFonts w:ascii="Arial" w:eastAsia="Arial" w:hAnsi="Arial" w:cs="Arial"/>
          <w:sz w:val="20"/>
          <w:szCs w:val="20"/>
          <w:highlight w:val="white"/>
        </w:rPr>
        <w:t>Bis</w:t>
      </w:r>
      <w:proofErr w:type="spellEnd"/>
      <w:r>
        <w:rPr>
          <w:rFonts w:ascii="Arial" w:eastAsia="Arial" w:hAnsi="Arial" w:cs="Arial"/>
          <w:sz w:val="20"/>
          <w:szCs w:val="20"/>
          <w:highlight w:val="white"/>
        </w:rPr>
        <w:t>(</w:t>
      </w:r>
      <w:proofErr w:type="spellStart"/>
      <w:proofErr w:type="gramEnd"/>
      <w:r>
        <w:rPr>
          <w:rFonts w:ascii="Arial" w:eastAsia="Arial" w:hAnsi="Arial" w:cs="Arial"/>
          <w:sz w:val="20"/>
          <w:szCs w:val="20"/>
          <w:highlight w:val="white"/>
        </w:rPr>
        <w:t>imino</w:t>
      </w:r>
      <w:proofErr w:type="spellEnd"/>
      <w:r>
        <w:rPr>
          <w:rFonts w:ascii="Arial" w:eastAsia="Arial" w:hAnsi="Arial" w:cs="Arial"/>
          <w:sz w:val="20"/>
          <w:szCs w:val="20"/>
          <w:highlight w:val="white"/>
        </w:rPr>
        <w:t xml:space="preserve">)pyridine Iron </w:t>
      </w:r>
      <w:proofErr w:type="spellStart"/>
      <w:r>
        <w:rPr>
          <w:rFonts w:ascii="Arial" w:eastAsia="Arial" w:hAnsi="Arial" w:cs="Arial"/>
          <w:sz w:val="20"/>
          <w:szCs w:val="20"/>
          <w:highlight w:val="white"/>
        </w:rPr>
        <w:t>Bis</w:t>
      </w:r>
      <w:proofErr w:type="spellEnd"/>
      <w:r>
        <w:rPr>
          <w:rFonts w:ascii="Arial" w:eastAsia="Arial" w:hAnsi="Arial" w:cs="Arial"/>
          <w:sz w:val="20"/>
          <w:szCs w:val="20"/>
          <w:highlight w:val="white"/>
        </w:rPr>
        <w:t>(</w:t>
      </w:r>
      <w:proofErr w:type="spellStart"/>
      <w:r>
        <w:rPr>
          <w:rFonts w:ascii="Arial" w:eastAsia="Arial" w:hAnsi="Arial" w:cs="Arial"/>
          <w:sz w:val="20"/>
          <w:szCs w:val="20"/>
          <w:highlight w:val="white"/>
        </w:rPr>
        <w:t>alkoxide</w:t>
      </w:r>
      <w:proofErr w:type="spellEnd"/>
      <w:r>
        <w:rPr>
          <w:rFonts w:ascii="Arial" w:eastAsia="Arial" w:hAnsi="Arial" w:cs="Arial"/>
          <w:sz w:val="20"/>
          <w:szCs w:val="20"/>
          <w:highlight w:val="white"/>
        </w:rPr>
        <w:t>) Complexes</w:t>
      </w:r>
    </w:p>
    <w:p w14:paraId="6745DDD3" w14:textId="77777777" w:rsidR="00C20BA8" w:rsidRDefault="001A5F9B">
      <w:pPr>
        <w:pStyle w:val="normal0"/>
        <w:jc w:val="center"/>
      </w:pPr>
      <w:r>
        <w:rPr>
          <w:rFonts w:ascii="Arial" w:eastAsia="Arial" w:hAnsi="Arial" w:cs="Arial"/>
          <w:sz w:val="20"/>
          <w:szCs w:val="20"/>
          <w:highlight w:val="white"/>
        </w:rPr>
        <w:t xml:space="preserve">Ashley B. </w:t>
      </w:r>
      <w:proofErr w:type="spellStart"/>
      <w:r>
        <w:rPr>
          <w:rFonts w:ascii="Arial" w:eastAsia="Arial" w:hAnsi="Arial" w:cs="Arial"/>
          <w:sz w:val="20"/>
          <w:szCs w:val="20"/>
          <w:highlight w:val="white"/>
        </w:rPr>
        <w:t>Biernesser</w:t>
      </w:r>
      <w:proofErr w:type="spellEnd"/>
      <w:r>
        <w:rPr>
          <w:rFonts w:ascii="Arial" w:eastAsia="Arial" w:hAnsi="Arial" w:cs="Arial"/>
          <w:sz w:val="20"/>
          <w:szCs w:val="20"/>
          <w:highlight w:val="white"/>
        </w:rPr>
        <w:t>, Bo Li, and Jeffery A. Byers</w:t>
      </w:r>
    </w:p>
    <w:p w14:paraId="7E5BC8FB" w14:textId="77777777" w:rsidR="00C20BA8" w:rsidRDefault="001A5F9B">
      <w:pPr>
        <w:pStyle w:val="normal0"/>
        <w:jc w:val="center"/>
      </w:pPr>
      <w:r>
        <w:rPr>
          <w:rFonts w:ascii="Arial" w:eastAsia="Arial" w:hAnsi="Arial" w:cs="Arial"/>
          <w:i/>
          <w:sz w:val="20"/>
          <w:szCs w:val="20"/>
          <w:highlight w:val="white"/>
        </w:rPr>
        <w:t>Journal of the American Chemical Society</w:t>
      </w:r>
      <w:r>
        <w:rPr>
          <w:rFonts w:ascii="Arial" w:eastAsia="Arial" w:hAnsi="Arial" w:cs="Arial"/>
          <w:sz w:val="20"/>
          <w:szCs w:val="20"/>
          <w:highlight w:val="white"/>
        </w:rPr>
        <w:t xml:space="preserve"> </w:t>
      </w:r>
      <w:r>
        <w:rPr>
          <w:rFonts w:ascii="Arial" w:eastAsia="Arial" w:hAnsi="Arial" w:cs="Arial"/>
          <w:b/>
          <w:sz w:val="20"/>
          <w:szCs w:val="20"/>
          <w:highlight w:val="white"/>
        </w:rPr>
        <w:t>2013</w:t>
      </w:r>
      <w:r>
        <w:rPr>
          <w:rFonts w:ascii="Arial" w:eastAsia="Arial" w:hAnsi="Arial" w:cs="Arial"/>
          <w:sz w:val="20"/>
          <w:szCs w:val="20"/>
          <w:highlight w:val="white"/>
        </w:rPr>
        <w:t xml:space="preserve"> </w:t>
      </w:r>
      <w:r>
        <w:rPr>
          <w:rFonts w:ascii="Arial" w:eastAsia="Arial" w:hAnsi="Arial" w:cs="Arial"/>
          <w:i/>
          <w:sz w:val="20"/>
          <w:szCs w:val="20"/>
          <w:highlight w:val="white"/>
        </w:rPr>
        <w:t>135</w:t>
      </w:r>
      <w:r>
        <w:rPr>
          <w:rFonts w:ascii="Arial" w:eastAsia="Arial" w:hAnsi="Arial" w:cs="Arial"/>
          <w:sz w:val="20"/>
          <w:szCs w:val="20"/>
          <w:highlight w:val="white"/>
        </w:rPr>
        <w:t xml:space="preserve"> (44), 16553-16560</w:t>
      </w:r>
    </w:p>
    <w:p w14:paraId="223A4384" w14:textId="77777777" w:rsidR="00C20BA8" w:rsidRDefault="001A5F9B">
      <w:pPr>
        <w:pStyle w:val="normal0"/>
        <w:jc w:val="center"/>
      </w:pPr>
      <w:r>
        <w:rPr>
          <w:rFonts w:ascii="Arial" w:eastAsia="Arial" w:hAnsi="Arial" w:cs="Arial"/>
          <w:sz w:val="20"/>
          <w:szCs w:val="20"/>
          <w:highlight w:val="white"/>
        </w:rPr>
        <w:t xml:space="preserve">DOI: </w:t>
      </w:r>
      <w:hyperlink r:id="rId8">
        <w:r>
          <w:rPr>
            <w:rFonts w:ascii="Arial" w:eastAsia="Arial" w:hAnsi="Arial" w:cs="Arial"/>
            <w:color w:val="1155CC"/>
            <w:sz w:val="20"/>
            <w:szCs w:val="20"/>
            <w:highlight w:val="white"/>
            <w:u w:val="single"/>
          </w:rPr>
          <w:t>http://dx/doi/org/10.1021/ja407920d</w:t>
        </w:r>
      </w:hyperlink>
    </w:p>
    <w:p w14:paraId="303CDC05" w14:textId="77777777" w:rsidR="00C20BA8" w:rsidRDefault="00C20BA8">
      <w:pPr>
        <w:pStyle w:val="normal0"/>
      </w:pPr>
    </w:p>
    <w:p w14:paraId="29D18715" w14:textId="77777777" w:rsidR="00C20BA8" w:rsidRDefault="001A5F9B">
      <w:pPr>
        <w:pStyle w:val="normal0"/>
        <w:jc w:val="both"/>
      </w:pPr>
      <w:r>
        <w:rPr>
          <w:rFonts w:ascii="Arial" w:eastAsia="Arial" w:hAnsi="Arial" w:cs="Arial"/>
        </w:rPr>
        <w:t xml:space="preserve">In this article, Byers and co-workers investigate the use of </w:t>
      </w:r>
      <w:proofErr w:type="spellStart"/>
      <w:proofErr w:type="gramStart"/>
      <w:r>
        <w:rPr>
          <w:rFonts w:ascii="Arial" w:eastAsia="Arial" w:hAnsi="Arial" w:cs="Arial"/>
          <w:highlight w:val="white"/>
        </w:rPr>
        <w:t>bis</w:t>
      </w:r>
      <w:proofErr w:type="spellEnd"/>
      <w:r>
        <w:rPr>
          <w:rFonts w:ascii="Arial" w:eastAsia="Arial" w:hAnsi="Arial" w:cs="Arial"/>
          <w:highlight w:val="white"/>
        </w:rPr>
        <w:t>(</w:t>
      </w:r>
      <w:proofErr w:type="spellStart"/>
      <w:proofErr w:type="gramEnd"/>
      <w:r>
        <w:rPr>
          <w:rFonts w:ascii="Arial" w:eastAsia="Arial" w:hAnsi="Arial" w:cs="Arial"/>
          <w:highlight w:val="white"/>
        </w:rPr>
        <w:t>imino</w:t>
      </w:r>
      <w:proofErr w:type="spellEnd"/>
      <w:r>
        <w:rPr>
          <w:rFonts w:ascii="Arial" w:eastAsia="Arial" w:hAnsi="Arial" w:cs="Arial"/>
          <w:highlight w:val="white"/>
        </w:rPr>
        <w:t xml:space="preserve">)pyridine iron </w:t>
      </w:r>
      <w:proofErr w:type="spellStart"/>
      <w:r>
        <w:rPr>
          <w:rFonts w:ascii="Arial" w:eastAsia="Arial" w:hAnsi="Arial" w:cs="Arial"/>
          <w:highlight w:val="white"/>
        </w:rPr>
        <w:t>bis</w:t>
      </w:r>
      <w:proofErr w:type="spellEnd"/>
      <w:r>
        <w:rPr>
          <w:rFonts w:ascii="Arial" w:eastAsia="Arial" w:hAnsi="Arial" w:cs="Arial"/>
          <w:highlight w:val="white"/>
        </w:rPr>
        <w:t>(</w:t>
      </w:r>
      <w:proofErr w:type="spellStart"/>
      <w:r>
        <w:rPr>
          <w:rFonts w:ascii="Arial" w:eastAsia="Arial" w:hAnsi="Arial" w:cs="Arial"/>
          <w:highlight w:val="white"/>
        </w:rPr>
        <w:t>alkoxide</w:t>
      </w:r>
      <w:proofErr w:type="spellEnd"/>
      <w:r>
        <w:rPr>
          <w:rFonts w:ascii="Arial" w:eastAsia="Arial" w:hAnsi="Arial" w:cs="Arial"/>
          <w:highlight w:val="white"/>
        </w:rPr>
        <w:t xml:space="preserve">) complexes as catalysts for the polymerization of </w:t>
      </w:r>
      <w:proofErr w:type="spellStart"/>
      <w:r>
        <w:rPr>
          <w:rFonts w:ascii="Arial" w:eastAsia="Arial" w:hAnsi="Arial" w:cs="Arial"/>
          <w:highlight w:val="white"/>
        </w:rPr>
        <w:t>lactide</w:t>
      </w:r>
      <w:proofErr w:type="spellEnd"/>
      <w:r>
        <w:rPr>
          <w:rFonts w:ascii="Arial" w:eastAsia="Arial" w:hAnsi="Arial" w:cs="Arial"/>
          <w:highlight w:val="white"/>
        </w:rPr>
        <w:t xml:space="preserve">. </w:t>
      </w:r>
      <w:r>
        <w:rPr>
          <w:rFonts w:ascii="Arial" w:eastAsia="Arial" w:hAnsi="Arial" w:cs="Arial"/>
        </w:rPr>
        <w:t>The autho</w:t>
      </w:r>
      <w:r>
        <w:rPr>
          <w:rFonts w:ascii="Arial" w:eastAsia="Arial" w:hAnsi="Arial" w:cs="Arial"/>
        </w:rPr>
        <w:t>rs describe the synthesis of the iron complexes and the mechanistic studies done to elucidate the mechanism of the polymerization reaction. The following questions are intended to guide your reading of the article.</w:t>
      </w:r>
    </w:p>
    <w:p w14:paraId="6637ED3E" w14:textId="77777777" w:rsidR="00C20BA8" w:rsidRDefault="001A5F9B">
      <w:pPr>
        <w:pStyle w:val="normal0"/>
        <w:jc w:val="both"/>
      </w:pPr>
      <w:r>
        <w:rPr>
          <w:rFonts w:ascii="Arial" w:eastAsia="Arial" w:hAnsi="Arial" w:cs="Arial"/>
        </w:rPr>
        <w:t xml:space="preserve"> </w:t>
      </w:r>
    </w:p>
    <w:p w14:paraId="0A9561B5" w14:textId="77777777" w:rsidR="00C20BA8" w:rsidRDefault="001A5F9B">
      <w:pPr>
        <w:pStyle w:val="normal0"/>
      </w:pPr>
      <w:r>
        <w:rPr>
          <w:rFonts w:ascii="Arial" w:eastAsia="Arial" w:hAnsi="Arial" w:cs="Arial"/>
          <w:b/>
        </w:rPr>
        <w:t>Introductory Questions</w:t>
      </w:r>
    </w:p>
    <w:p w14:paraId="1FD20BBC"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When discussing </w:t>
      </w:r>
      <w:r>
        <w:rPr>
          <w:rFonts w:ascii="Arial" w:eastAsia="Arial" w:hAnsi="Arial" w:cs="Arial"/>
        </w:rPr>
        <w:t>polymer chemistry, there are a number of important terms that are used to describe the mechanism of the polymerization reaction and the properties of the polymer. Please provide a definition for each of the terms (used in the article) that are listed below</w:t>
      </w:r>
      <w:r>
        <w:rPr>
          <w:rFonts w:ascii="Arial" w:eastAsia="Arial" w:hAnsi="Arial" w:cs="Arial"/>
        </w:rPr>
        <w:t>. You may need to consult other sources to find some of these definitions.</w:t>
      </w:r>
    </w:p>
    <w:p w14:paraId="581900DD" w14:textId="77777777" w:rsidR="00C20BA8" w:rsidRDefault="001A5F9B">
      <w:pPr>
        <w:pStyle w:val="normal0"/>
        <w:numPr>
          <w:ilvl w:val="1"/>
          <w:numId w:val="1"/>
        </w:numPr>
        <w:ind w:hanging="360"/>
        <w:contextualSpacing/>
        <w:rPr>
          <w:rFonts w:ascii="Arial" w:eastAsia="Arial" w:hAnsi="Arial" w:cs="Arial"/>
        </w:rPr>
      </w:pPr>
      <w:proofErr w:type="spellStart"/>
      <w:r>
        <w:rPr>
          <w:rFonts w:ascii="Arial" w:eastAsia="Arial" w:hAnsi="Arial" w:cs="Arial"/>
        </w:rPr>
        <w:t>Precatalyst</w:t>
      </w:r>
      <w:proofErr w:type="spellEnd"/>
    </w:p>
    <w:p w14:paraId="524308C2" w14:textId="77777777" w:rsidR="00C20BA8" w:rsidRDefault="001A5F9B">
      <w:pPr>
        <w:pStyle w:val="normal0"/>
        <w:numPr>
          <w:ilvl w:val="1"/>
          <w:numId w:val="1"/>
        </w:numPr>
        <w:ind w:hanging="360"/>
        <w:contextualSpacing/>
        <w:rPr>
          <w:rFonts w:ascii="Arial" w:eastAsia="Arial" w:hAnsi="Arial" w:cs="Arial"/>
        </w:rPr>
      </w:pPr>
      <w:r>
        <w:rPr>
          <w:rFonts w:ascii="Arial" w:eastAsia="Arial" w:hAnsi="Arial" w:cs="Arial"/>
        </w:rPr>
        <w:t>Initiator</w:t>
      </w:r>
    </w:p>
    <w:p w14:paraId="70B3D895" w14:textId="77777777" w:rsidR="00C20BA8" w:rsidRDefault="001A5F9B">
      <w:pPr>
        <w:pStyle w:val="normal0"/>
        <w:numPr>
          <w:ilvl w:val="1"/>
          <w:numId w:val="1"/>
        </w:numPr>
        <w:ind w:hanging="360"/>
        <w:contextualSpacing/>
        <w:rPr>
          <w:rFonts w:ascii="Arial" w:eastAsia="Arial" w:hAnsi="Arial" w:cs="Arial"/>
        </w:rPr>
      </w:pPr>
      <w:proofErr w:type="spellStart"/>
      <w:r>
        <w:rPr>
          <w:rFonts w:ascii="Arial" w:eastAsia="Arial" w:hAnsi="Arial" w:cs="Arial"/>
          <w:i/>
        </w:rPr>
        <w:t>M</w:t>
      </w:r>
      <w:r>
        <w:rPr>
          <w:rFonts w:ascii="Arial" w:eastAsia="Arial" w:hAnsi="Arial" w:cs="Arial"/>
          <w:vertAlign w:val="subscript"/>
        </w:rPr>
        <w:t>n</w:t>
      </w:r>
      <w:proofErr w:type="spellEnd"/>
    </w:p>
    <w:p w14:paraId="3E88D1BA" w14:textId="77777777" w:rsidR="00C20BA8" w:rsidRDefault="001A5F9B">
      <w:pPr>
        <w:pStyle w:val="normal0"/>
        <w:numPr>
          <w:ilvl w:val="1"/>
          <w:numId w:val="1"/>
        </w:numPr>
        <w:ind w:hanging="360"/>
        <w:contextualSpacing/>
        <w:rPr>
          <w:rFonts w:ascii="Arial" w:eastAsia="Arial" w:hAnsi="Arial" w:cs="Arial"/>
        </w:rPr>
      </w:pPr>
      <w:r>
        <w:rPr>
          <w:rFonts w:ascii="Arial" w:eastAsia="Arial" w:hAnsi="Arial" w:cs="Arial"/>
          <w:i/>
        </w:rPr>
        <w:t>M</w:t>
      </w:r>
      <w:r>
        <w:rPr>
          <w:rFonts w:ascii="Arial" w:eastAsia="Arial" w:hAnsi="Arial" w:cs="Arial"/>
          <w:vertAlign w:val="subscript"/>
        </w:rPr>
        <w:t>w</w:t>
      </w:r>
      <w:r>
        <w:rPr>
          <w:rFonts w:ascii="Arial" w:eastAsia="Arial" w:hAnsi="Arial" w:cs="Arial"/>
        </w:rPr>
        <w:t xml:space="preserve"> </w:t>
      </w:r>
    </w:p>
    <w:p w14:paraId="21E2A151" w14:textId="77777777" w:rsidR="00C20BA8" w:rsidRDefault="001A5F9B">
      <w:pPr>
        <w:pStyle w:val="normal0"/>
        <w:numPr>
          <w:ilvl w:val="1"/>
          <w:numId w:val="1"/>
        </w:numPr>
        <w:ind w:hanging="360"/>
        <w:contextualSpacing/>
        <w:rPr>
          <w:rFonts w:ascii="Arial" w:eastAsia="Arial" w:hAnsi="Arial" w:cs="Arial"/>
        </w:rPr>
      </w:pPr>
      <w:proofErr w:type="spellStart"/>
      <w:r>
        <w:rPr>
          <w:rFonts w:ascii="Arial" w:eastAsia="Arial" w:hAnsi="Arial" w:cs="Arial"/>
        </w:rPr>
        <w:t>Polydispersity</w:t>
      </w:r>
      <w:proofErr w:type="spellEnd"/>
      <w:r>
        <w:rPr>
          <w:rFonts w:ascii="Arial" w:eastAsia="Arial" w:hAnsi="Arial" w:cs="Arial"/>
        </w:rPr>
        <w:t xml:space="preserve"> or </w:t>
      </w:r>
      <w:proofErr w:type="spellStart"/>
      <w:r>
        <w:rPr>
          <w:rFonts w:ascii="Arial" w:eastAsia="Arial" w:hAnsi="Arial" w:cs="Arial"/>
        </w:rPr>
        <w:t>polydispersity</w:t>
      </w:r>
      <w:proofErr w:type="spellEnd"/>
      <w:r>
        <w:rPr>
          <w:rFonts w:ascii="Arial" w:eastAsia="Arial" w:hAnsi="Arial" w:cs="Arial"/>
        </w:rPr>
        <w:t xml:space="preserve"> index (PDI)</w:t>
      </w:r>
    </w:p>
    <w:p w14:paraId="0E53649D"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In the general mechanism for polymerization reactions, there are a series of steps that occur: initiation, </w:t>
      </w:r>
      <w:r>
        <w:rPr>
          <w:rFonts w:ascii="Arial" w:eastAsia="Arial" w:hAnsi="Arial" w:cs="Arial"/>
        </w:rPr>
        <w:t xml:space="preserve">propagation, </w:t>
      </w:r>
      <w:proofErr w:type="gramStart"/>
      <w:r>
        <w:rPr>
          <w:rFonts w:ascii="Arial" w:eastAsia="Arial" w:hAnsi="Arial" w:cs="Arial"/>
        </w:rPr>
        <w:t>termination</w:t>
      </w:r>
      <w:proofErr w:type="gramEnd"/>
      <w:r>
        <w:rPr>
          <w:rFonts w:ascii="Arial" w:eastAsia="Arial" w:hAnsi="Arial" w:cs="Arial"/>
        </w:rPr>
        <w:t xml:space="preserve">. The authors suggest that the observed reaction is a </w:t>
      </w:r>
      <w:r>
        <w:rPr>
          <w:rFonts w:ascii="Arial" w:eastAsia="Arial" w:hAnsi="Arial" w:cs="Arial"/>
          <w:i/>
        </w:rPr>
        <w:t>living polymerization</w:t>
      </w:r>
      <w:r>
        <w:rPr>
          <w:rFonts w:ascii="Arial" w:eastAsia="Arial" w:hAnsi="Arial" w:cs="Arial"/>
        </w:rPr>
        <w:t xml:space="preserve">. What is a living polymerization reaction and how is it different from other types of polymerization reactions? </w:t>
      </w:r>
    </w:p>
    <w:p w14:paraId="304799C0"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Why is the polymerization of </w:t>
      </w:r>
      <w:proofErr w:type="spellStart"/>
      <w:r>
        <w:rPr>
          <w:rFonts w:ascii="Arial" w:eastAsia="Arial" w:hAnsi="Arial" w:cs="Arial"/>
        </w:rPr>
        <w:t>lactide</w:t>
      </w:r>
      <w:proofErr w:type="spellEnd"/>
      <w:r>
        <w:rPr>
          <w:rFonts w:ascii="Arial" w:eastAsia="Arial" w:hAnsi="Arial" w:cs="Arial"/>
        </w:rPr>
        <w:t xml:space="preserve"> being studied? What are some advantages of </w:t>
      </w:r>
      <w:proofErr w:type="gramStart"/>
      <w:r>
        <w:rPr>
          <w:rFonts w:ascii="Arial" w:eastAsia="Arial" w:hAnsi="Arial" w:cs="Arial"/>
        </w:rPr>
        <w:t>poly(</w:t>
      </w:r>
      <w:proofErr w:type="gramEnd"/>
      <w:r>
        <w:rPr>
          <w:rFonts w:ascii="Arial" w:eastAsia="Arial" w:hAnsi="Arial" w:cs="Arial"/>
        </w:rPr>
        <w:t xml:space="preserve">lactic acid) over many other commonly used polymers? </w:t>
      </w:r>
    </w:p>
    <w:p w14:paraId="45E235DD"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Why is iron an interesting metal to investigate for use as a catalyst in </w:t>
      </w:r>
      <w:proofErr w:type="spellStart"/>
      <w:r>
        <w:rPr>
          <w:rFonts w:ascii="Arial" w:eastAsia="Arial" w:hAnsi="Arial" w:cs="Arial"/>
        </w:rPr>
        <w:t>lactide</w:t>
      </w:r>
      <w:proofErr w:type="spellEnd"/>
      <w:r>
        <w:rPr>
          <w:rFonts w:ascii="Arial" w:eastAsia="Arial" w:hAnsi="Arial" w:cs="Arial"/>
        </w:rPr>
        <w:t xml:space="preserve"> polymerization? List some potential </w:t>
      </w:r>
      <w:r>
        <w:rPr>
          <w:rFonts w:ascii="Arial" w:eastAsia="Arial" w:hAnsi="Arial" w:cs="Arial"/>
        </w:rPr>
        <w:t>benefits that were mentioned in the article.</w:t>
      </w:r>
    </w:p>
    <w:p w14:paraId="12393455" w14:textId="77777777" w:rsidR="00C20BA8" w:rsidRDefault="00C20BA8">
      <w:pPr>
        <w:pStyle w:val="normal0"/>
      </w:pPr>
    </w:p>
    <w:p w14:paraId="37995A93" w14:textId="77777777" w:rsidR="00C20BA8" w:rsidRDefault="001A5F9B">
      <w:pPr>
        <w:pStyle w:val="normal0"/>
      </w:pPr>
      <w:r>
        <w:rPr>
          <w:rFonts w:ascii="Arial" w:eastAsia="Arial" w:hAnsi="Arial" w:cs="Arial"/>
          <w:b/>
        </w:rPr>
        <w:t>Characterization Questions</w:t>
      </w:r>
    </w:p>
    <w:p w14:paraId="11348E00"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Use the CBC method to classify the ligands coordinated to the iron center in complexes </w:t>
      </w:r>
      <w:r>
        <w:rPr>
          <w:rFonts w:ascii="Arial" w:eastAsia="Arial" w:hAnsi="Arial" w:cs="Arial"/>
          <w:b/>
        </w:rPr>
        <w:t>4</w:t>
      </w:r>
      <w:r>
        <w:rPr>
          <w:rFonts w:ascii="Arial" w:eastAsia="Arial" w:hAnsi="Arial" w:cs="Arial"/>
        </w:rPr>
        <w:t xml:space="preserve"> and </w:t>
      </w:r>
      <w:r>
        <w:rPr>
          <w:rFonts w:ascii="Arial" w:eastAsia="Arial" w:hAnsi="Arial" w:cs="Arial"/>
          <w:b/>
        </w:rPr>
        <w:t>5</w:t>
      </w:r>
      <w:r>
        <w:rPr>
          <w:rFonts w:ascii="Arial" w:eastAsia="Arial" w:hAnsi="Arial" w:cs="Arial"/>
        </w:rPr>
        <w:t xml:space="preserve"> as L, X, or Z.</w:t>
      </w:r>
    </w:p>
    <w:p w14:paraId="28384C40" w14:textId="0BFE3FC9"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Both the </w:t>
      </w:r>
      <w:proofErr w:type="gramStart"/>
      <w:r>
        <w:rPr>
          <w:rFonts w:ascii="Arial" w:eastAsia="Arial" w:hAnsi="Arial" w:cs="Arial"/>
        </w:rPr>
        <w:t>iron(</w:t>
      </w:r>
      <w:proofErr w:type="gramEnd"/>
      <w:r>
        <w:rPr>
          <w:rFonts w:ascii="Arial" w:eastAsia="Arial" w:hAnsi="Arial" w:cs="Arial"/>
        </w:rPr>
        <w:t xml:space="preserve">II) and iron(III) </w:t>
      </w:r>
      <w:proofErr w:type="spellStart"/>
      <w:r>
        <w:rPr>
          <w:rFonts w:ascii="Arial" w:eastAsia="Arial" w:hAnsi="Arial" w:cs="Arial"/>
        </w:rPr>
        <w:t>bis</w:t>
      </w:r>
      <w:proofErr w:type="spellEnd"/>
      <w:r>
        <w:rPr>
          <w:rFonts w:ascii="Arial" w:eastAsia="Arial" w:hAnsi="Arial" w:cs="Arial"/>
        </w:rPr>
        <w:t>(</w:t>
      </w:r>
      <w:proofErr w:type="spellStart"/>
      <w:r>
        <w:rPr>
          <w:rFonts w:ascii="Arial" w:eastAsia="Arial" w:hAnsi="Arial" w:cs="Arial"/>
        </w:rPr>
        <w:t>alkoxide</w:t>
      </w:r>
      <w:proofErr w:type="spellEnd"/>
      <w:r>
        <w:rPr>
          <w:rFonts w:ascii="Arial" w:eastAsia="Arial" w:hAnsi="Arial" w:cs="Arial"/>
        </w:rPr>
        <w:t>) compounds have unpaired ele</w:t>
      </w:r>
      <w:r>
        <w:rPr>
          <w:rFonts w:ascii="Arial" w:eastAsia="Arial" w:hAnsi="Arial" w:cs="Arial"/>
        </w:rPr>
        <w:t xml:space="preserve">ctrons. Given </w:t>
      </w:r>
      <w:proofErr w:type="spellStart"/>
      <w:r>
        <w:rPr>
          <w:rFonts w:ascii="Arial" w:eastAsia="Arial" w:hAnsi="Arial" w:cs="Arial"/>
        </w:rPr>
        <w:t>μ</w:t>
      </w:r>
      <w:r>
        <w:rPr>
          <w:rFonts w:ascii="Arial" w:eastAsia="Arial" w:hAnsi="Arial" w:cs="Arial"/>
          <w:vertAlign w:val="subscript"/>
        </w:rPr>
        <w:t>eff</w:t>
      </w:r>
      <w:proofErr w:type="spellEnd"/>
      <w:r>
        <w:rPr>
          <w:rFonts w:ascii="Arial" w:eastAsia="Arial" w:hAnsi="Arial" w:cs="Arial"/>
        </w:rPr>
        <w:t xml:space="preserve"> and the formula for the spin-only magnetic moment, determine the number of unpaired electrons (</w:t>
      </w:r>
      <w:r>
        <w:rPr>
          <w:rFonts w:ascii="Arial" w:eastAsia="Arial" w:hAnsi="Arial" w:cs="Arial"/>
          <w:i/>
        </w:rPr>
        <w:t>n</w:t>
      </w:r>
      <w:r>
        <w:rPr>
          <w:rFonts w:ascii="Arial" w:eastAsia="Arial" w:hAnsi="Arial" w:cs="Arial"/>
        </w:rPr>
        <w:t xml:space="preserve">) in each complex.      </w:t>
      </w:r>
      <m:oMath>
        <m:sSub>
          <m:sSubPr>
            <m:ctrlPr>
              <w:rPr>
                <w:rFonts w:ascii="Arial" w:eastAsia="Arial" w:hAnsi="Arial" w:cs="Arial"/>
              </w:rPr>
            </m:ctrlPr>
          </m:sSubPr>
          <m:e>
            <m:r>
              <w:rPr>
                <w:rFonts w:ascii="Cambria Math" w:hAnsi="Cambria Math"/>
              </w:rPr>
              <m:t>μ</m:t>
            </m:r>
          </m:e>
          <m:sub>
            <m:r>
              <m:rPr>
                <m:sty m:val="p"/>
              </m:rPr>
              <w:rPr>
                <w:rFonts w:ascii="Cambria Math" w:eastAsia="Arial" w:hAnsi="Cambria Math" w:cs="STIXGeneral-Regular"/>
              </w:rPr>
              <m:t>eff</m:t>
            </m:r>
          </m:sub>
        </m:sSub>
        <m:r>
          <w:rPr>
            <w:rFonts w:ascii="Arial" w:eastAsia="Arial" w:hAnsi="Arial" w:cs="Arial"/>
          </w:rPr>
          <m:t xml:space="preserve">= </m:t>
        </m:r>
        <m:rad>
          <m:radPr>
            <m:degHide m:val="1"/>
            <m:ctrlPr>
              <w:rPr>
                <w:rFonts w:ascii="Arial" w:eastAsia="Arial" w:hAnsi="Arial" w:cs="Arial"/>
              </w:rPr>
            </m:ctrlPr>
          </m:radPr>
          <m:deg/>
          <m:e>
            <m:r>
              <w:rPr>
                <w:rFonts w:ascii="STIXGeneral-Regular" w:eastAsia="Arial" w:hAnsi="STIXGeneral-Regular" w:cs="STIXGeneral-Regular"/>
              </w:rPr>
              <m:t>n</m:t>
            </m:r>
            <m:d>
              <m:dPr>
                <m:ctrlPr>
                  <w:rPr>
                    <w:rFonts w:ascii="Arial" w:eastAsia="Arial" w:hAnsi="Arial" w:cs="Arial"/>
                  </w:rPr>
                </m:ctrlPr>
              </m:dPr>
              <m:e>
                <m:r>
                  <w:rPr>
                    <w:rFonts w:ascii="STIXGeneral-Regular" w:eastAsia="Arial" w:hAnsi="STIXGeneral-Regular" w:cs="STIXGeneral-Regular"/>
                  </w:rPr>
                  <m:t>n</m:t>
                </m:r>
                <m:r>
                  <w:rPr>
                    <w:rFonts w:ascii="Arial" w:eastAsia="Arial" w:hAnsi="Arial" w:cs="Arial"/>
                  </w:rPr>
                  <m:t>+2</m:t>
                </m:r>
              </m:e>
            </m:d>
          </m:e>
        </m:rad>
      </m:oMath>
    </w:p>
    <w:tbl>
      <w:tblPr>
        <w:tblStyle w:val="a"/>
        <w:tblW w:w="586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545"/>
      </w:tblGrid>
      <w:tr w:rsidR="00C20BA8" w14:paraId="5A43927C" w14:textId="77777777">
        <w:tc>
          <w:tcPr>
            <w:tcW w:w="4320" w:type="dxa"/>
            <w:shd w:val="clear" w:color="auto" w:fill="EFEFEF"/>
            <w:tcMar>
              <w:top w:w="100" w:type="dxa"/>
              <w:left w:w="100" w:type="dxa"/>
              <w:bottom w:w="100" w:type="dxa"/>
              <w:right w:w="100" w:type="dxa"/>
            </w:tcMar>
          </w:tcPr>
          <w:p w14:paraId="12D1FA36" w14:textId="77777777" w:rsidR="00C20BA8" w:rsidRDefault="001A5F9B">
            <w:pPr>
              <w:pStyle w:val="normal0"/>
              <w:widowControl w:val="0"/>
            </w:pPr>
            <w:r>
              <w:rPr>
                <w:rFonts w:ascii="Arial" w:eastAsia="Arial" w:hAnsi="Arial" w:cs="Arial"/>
                <w:b/>
              </w:rPr>
              <w:t>Complex</w:t>
            </w:r>
          </w:p>
        </w:tc>
        <w:tc>
          <w:tcPr>
            <w:tcW w:w="1545" w:type="dxa"/>
            <w:shd w:val="clear" w:color="auto" w:fill="EFEFEF"/>
            <w:tcMar>
              <w:top w:w="100" w:type="dxa"/>
              <w:left w:w="100" w:type="dxa"/>
              <w:bottom w:w="100" w:type="dxa"/>
              <w:right w:w="100" w:type="dxa"/>
            </w:tcMar>
          </w:tcPr>
          <w:p w14:paraId="1C789D9F" w14:textId="77777777" w:rsidR="00C20BA8" w:rsidRDefault="001A5F9B">
            <w:pPr>
              <w:pStyle w:val="normal0"/>
              <w:jc w:val="center"/>
            </w:pPr>
            <w:proofErr w:type="spellStart"/>
            <w:r>
              <w:rPr>
                <w:rFonts w:ascii="Arial" w:eastAsia="Arial" w:hAnsi="Arial" w:cs="Arial"/>
                <w:b/>
              </w:rPr>
              <w:t>μ</w:t>
            </w:r>
            <w:r>
              <w:rPr>
                <w:rFonts w:ascii="Arial" w:eastAsia="Arial" w:hAnsi="Arial" w:cs="Arial"/>
                <w:b/>
                <w:vertAlign w:val="subscript"/>
              </w:rPr>
              <w:t>eff</w:t>
            </w:r>
            <w:proofErr w:type="spellEnd"/>
          </w:p>
        </w:tc>
        <w:bookmarkStart w:id="2" w:name="_GoBack"/>
        <w:bookmarkEnd w:id="2"/>
      </w:tr>
      <w:tr w:rsidR="00C20BA8" w14:paraId="03671AF4" w14:textId="77777777">
        <w:tc>
          <w:tcPr>
            <w:tcW w:w="4320" w:type="dxa"/>
            <w:tcMar>
              <w:top w:w="100" w:type="dxa"/>
              <w:left w:w="100" w:type="dxa"/>
              <w:bottom w:w="100" w:type="dxa"/>
              <w:right w:w="100" w:type="dxa"/>
            </w:tcMar>
          </w:tcPr>
          <w:p w14:paraId="6D5781F3" w14:textId="77777777" w:rsidR="00C20BA8" w:rsidRDefault="001A5F9B">
            <w:pPr>
              <w:pStyle w:val="normal0"/>
              <w:widowControl w:val="0"/>
            </w:pPr>
            <w:proofErr w:type="gramStart"/>
            <w:r>
              <w:rPr>
                <w:rFonts w:ascii="Arial" w:eastAsia="Arial" w:hAnsi="Arial" w:cs="Arial"/>
              </w:rPr>
              <w:t>iron</w:t>
            </w:r>
            <w:proofErr w:type="gramEnd"/>
            <w:r>
              <w:rPr>
                <w:rFonts w:ascii="Arial" w:eastAsia="Arial" w:hAnsi="Arial" w:cs="Arial"/>
              </w:rPr>
              <w:t xml:space="preserve">(II) </w:t>
            </w:r>
            <w:proofErr w:type="spellStart"/>
            <w:r>
              <w:rPr>
                <w:rFonts w:ascii="Arial" w:eastAsia="Arial" w:hAnsi="Arial" w:cs="Arial"/>
              </w:rPr>
              <w:t>bis</w:t>
            </w:r>
            <w:proofErr w:type="spellEnd"/>
            <w:r>
              <w:rPr>
                <w:rFonts w:ascii="Arial" w:eastAsia="Arial" w:hAnsi="Arial" w:cs="Arial"/>
              </w:rPr>
              <w:t>(</w:t>
            </w:r>
            <w:proofErr w:type="spellStart"/>
            <w:r>
              <w:rPr>
                <w:rFonts w:ascii="Arial" w:eastAsia="Arial" w:hAnsi="Arial" w:cs="Arial"/>
              </w:rPr>
              <w:t>neopentoxide</w:t>
            </w:r>
            <w:proofErr w:type="spellEnd"/>
            <w:r>
              <w:rPr>
                <w:rFonts w:ascii="Arial" w:eastAsia="Arial" w:hAnsi="Arial" w:cs="Arial"/>
              </w:rPr>
              <w:t>) [</w:t>
            </w:r>
            <w:r>
              <w:rPr>
                <w:rFonts w:ascii="Arial" w:eastAsia="Arial" w:hAnsi="Arial" w:cs="Arial"/>
                <w:b/>
              </w:rPr>
              <w:t>5c</w:t>
            </w:r>
            <w:r>
              <w:rPr>
                <w:rFonts w:ascii="Arial" w:eastAsia="Arial" w:hAnsi="Arial" w:cs="Arial"/>
              </w:rPr>
              <w:t>]</w:t>
            </w:r>
          </w:p>
        </w:tc>
        <w:tc>
          <w:tcPr>
            <w:tcW w:w="1545" w:type="dxa"/>
            <w:tcMar>
              <w:top w:w="100" w:type="dxa"/>
              <w:left w:w="100" w:type="dxa"/>
              <w:bottom w:w="100" w:type="dxa"/>
              <w:right w:w="100" w:type="dxa"/>
            </w:tcMar>
          </w:tcPr>
          <w:p w14:paraId="51213E7D" w14:textId="77777777" w:rsidR="00C20BA8" w:rsidRDefault="001A5F9B">
            <w:pPr>
              <w:pStyle w:val="normal0"/>
              <w:widowControl w:val="0"/>
              <w:jc w:val="center"/>
            </w:pPr>
            <w:r>
              <w:rPr>
                <w:rFonts w:ascii="Arial" w:eastAsia="Arial" w:hAnsi="Arial" w:cs="Arial"/>
              </w:rPr>
              <w:t xml:space="preserve">5.2 </w:t>
            </w:r>
            <w:proofErr w:type="spellStart"/>
            <w:r>
              <w:rPr>
                <w:rFonts w:ascii="Arial" w:eastAsia="Arial" w:hAnsi="Arial" w:cs="Arial"/>
              </w:rPr>
              <w:t>μ</w:t>
            </w:r>
            <w:r>
              <w:rPr>
                <w:rFonts w:ascii="Arial" w:eastAsia="Arial" w:hAnsi="Arial" w:cs="Arial"/>
                <w:vertAlign w:val="subscript"/>
              </w:rPr>
              <w:t>B</w:t>
            </w:r>
            <w:proofErr w:type="spellEnd"/>
          </w:p>
        </w:tc>
      </w:tr>
      <w:tr w:rsidR="00C20BA8" w14:paraId="5D09830A" w14:textId="77777777">
        <w:tc>
          <w:tcPr>
            <w:tcW w:w="4320" w:type="dxa"/>
            <w:tcMar>
              <w:top w:w="100" w:type="dxa"/>
              <w:left w:w="100" w:type="dxa"/>
              <w:bottom w:w="100" w:type="dxa"/>
              <w:right w:w="100" w:type="dxa"/>
            </w:tcMar>
          </w:tcPr>
          <w:p w14:paraId="2581B871" w14:textId="77777777" w:rsidR="00C20BA8" w:rsidRDefault="001A5F9B">
            <w:pPr>
              <w:pStyle w:val="normal0"/>
              <w:widowControl w:val="0"/>
            </w:pPr>
            <w:proofErr w:type="gramStart"/>
            <w:r>
              <w:rPr>
                <w:rFonts w:ascii="Arial" w:eastAsia="Arial" w:hAnsi="Arial" w:cs="Arial"/>
              </w:rPr>
              <w:t>iron</w:t>
            </w:r>
            <w:proofErr w:type="gramEnd"/>
            <w:r>
              <w:rPr>
                <w:rFonts w:ascii="Arial" w:eastAsia="Arial" w:hAnsi="Arial" w:cs="Arial"/>
              </w:rPr>
              <w:t xml:space="preserve">(III) </w:t>
            </w:r>
            <w:proofErr w:type="spellStart"/>
            <w:r>
              <w:rPr>
                <w:rFonts w:ascii="Arial" w:eastAsia="Arial" w:hAnsi="Arial" w:cs="Arial"/>
              </w:rPr>
              <w:t>bis</w:t>
            </w:r>
            <w:proofErr w:type="spellEnd"/>
            <w:r>
              <w:rPr>
                <w:rFonts w:ascii="Arial" w:eastAsia="Arial" w:hAnsi="Arial" w:cs="Arial"/>
              </w:rPr>
              <w:t>(4-methoxyphenoxide) [</w:t>
            </w:r>
            <w:r>
              <w:rPr>
                <w:rFonts w:ascii="Arial" w:eastAsia="Arial" w:hAnsi="Arial" w:cs="Arial"/>
                <w:b/>
              </w:rPr>
              <w:t>6</w:t>
            </w:r>
            <w:r>
              <w:rPr>
                <w:rFonts w:ascii="Arial" w:eastAsia="Arial" w:hAnsi="Arial" w:cs="Arial"/>
              </w:rPr>
              <w:t>]</w:t>
            </w:r>
          </w:p>
        </w:tc>
        <w:tc>
          <w:tcPr>
            <w:tcW w:w="1545" w:type="dxa"/>
            <w:tcMar>
              <w:top w:w="100" w:type="dxa"/>
              <w:left w:w="100" w:type="dxa"/>
              <w:bottom w:w="100" w:type="dxa"/>
              <w:right w:w="100" w:type="dxa"/>
            </w:tcMar>
          </w:tcPr>
          <w:p w14:paraId="7C8D8A8F" w14:textId="77777777" w:rsidR="00C20BA8" w:rsidRDefault="001A5F9B">
            <w:pPr>
              <w:pStyle w:val="normal0"/>
              <w:widowControl w:val="0"/>
              <w:jc w:val="center"/>
            </w:pPr>
            <w:r>
              <w:rPr>
                <w:rFonts w:ascii="Arial" w:eastAsia="Arial" w:hAnsi="Arial" w:cs="Arial"/>
              </w:rPr>
              <w:t xml:space="preserve">5.9 </w:t>
            </w:r>
            <w:proofErr w:type="spellStart"/>
            <w:r>
              <w:rPr>
                <w:rFonts w:ascii="Arial" w:eastAsia="Arial" w:hAnsi="Arial" w:cs="Arial"/>
              </w:rPr>
              <w:t>μ</w:t>
            </w:r>
            <w:r>
              <w:rPr>
                <w:rFonts w:ascii="Arial" w:eastAsia="Arial" w:hAnsi="Arial" w:cs="Arial"/>
                <w:vertAlign w:val="subscript"/>
              </w:rPr>
              <w:t>B</w:t>
            </w:r>
            <w:proofErr w:type="spellEnd"/>
          </w:p>
        </w:tc>
      </w:tr>
    </w:tbl>
    <w:p w14:paraId="50F4F079" w14:textId="77777777" w:rsidR="00C20BA8" w:rsidRDefault="00C20BA8">
      <w:pPr>
        <w:pStyle w:val="normal0"/>
      </w:pPr>
    </w:p>
    <w:p w14:paraId="5FBA23A1"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 The authors use the Evans’ method to determine the Fe center is in fact high spin. Describe the Evans’ method and how it can be used to get information about the spin state of a metal center. What other technique could be used to obtain the same informati</w:t>
      </w:r>
      <w:r>
        <w:rPr>
          <w:rFonts w:ascii="Arial" w:eastAsia="Arial" w:hAnsi="Arial" w:cs="Arial"/>
        </w:rPr>
        <w:t xml:space="preserve">on? (You will need to use other sources to answer </w:t>
      </w:r>
      <w:proofErr w:type="gramStart"/>
      <w:r>
        <w:rPr>
          <w:rFonts w:ascii="Arial" w:eastAsia="Arial" w:hAnsi="Arial" w:cs="Arial"/>
        </w:rPr>
        <w:t>this questions</w:t>
      </w:r>
      <w:proofErr w:type="gramEnd"/>
      <w:r>
        <w:rPr>
          <w:rFonts w:ascii="Arial" w:eastAsia="Arial" w:hAnsi="Arial" w:cs="Arial"/>
        </w:rPr>
        <w:t xml:space="preserve">.) </w:t>
      </w:r>
    </w:p>
    <w:p w14:paraId="02F5B0E2"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The article states that the iron has </w:t>
      </w:r>
      <w:proofErr w:type="gramStart"/>
      <w:r>
        <w:rPr>
          <w:rFonts w:ascii="Arial" w:eastAsia="Arial" w:hAnsi="Arial" w:cs="Arial"/>
        </w:rPr>
        <w:t>a distorted</w:t>
      </w:r>
      <w:proofErr w:type="gramEnd"/>
      <w:r>
        <w:rPr>
          <w:rFonts w:ascii="Arial" w:eastAsia="Arial" w:hAnsi="Arial" w:cs="Arial"/>
        </w:rPr>
        <w:t xml:space="preserve"> </w:t>
      </w:r>
      <w:proofErr w:type="spellStart"/>
      <w:r>
        <w:rPr>
          <w:rFonts w:ascii="Arial" w:eastAsia="Arial" w:hAnsi="Arial" w:cs="Arial"/>
        </w:rPr>
        <w:t>trigonal</w:t>
      </w:r>
      <w:proofErr w:type="spellEnd"/>
      <w:r>
        <w:rPr>
          <w:rFonts w:ascii="Arial" w:eastAsia="Arial" w:hAnsi="Arial" w:cs="Arial"/>
        </w:rPr>
        <w:t xml:space="preserve"> </w:t>
      </w:r>
      <w:proofErr w:type="spellStart"/>
      <w:r>
        <w:rPr>
          <w:rFonts w:ascii="Arial" w:eastAsia="Arial" w:hAnsi="Arial" w:cs="Arial"/>
        </w:rPr>
        <w:t>bipyramidal</w:t>
      </w:r>
      <w:proofErr w:type="spellEnd"/>
      <w:r>
        <w:rPr>
          <w:rFonts w:ascii="Arial" w:eastAsia="Arial" w:hAnsi="Arial" w:cs="Arial"/>
        </w:rPr>
        <w:t xml:space="preserve"> geometry. A square pyramidal structure is the other common geometry observed for five-coordinate complexes. For both c</w:t>
      </w:r>
      <w:r>
        <w:rPr>
          <w:rFonts w:ascii="Arial" w:eastAsia="Arial" w:hAnsi="Arial" w:cs="Arial"/>
        </w:rPr>
        <w:t xml:space="preserve">omplexes </w:t>
      </w:r>
      <w:r>
        <w:rPr>
          <w:rFonts w:ascii="Arial" w:eastAsia="Arial" w:hAnsi="Arial" w:cs="Arial"/>
          <w:b/>
        </w:rPr>
        <w:t>5c</w:t>
      </w:r>
      <w:r>
        <w:rPr>
          <w:rFonts w:ascii="Arial" w:eastAsia="Arial" w:hAnsi="Arial" w:cs="Arial"/>
        </w:rPr>
        <w:t xml:space="preserve"> and </w:t>
      </w:r>
      <w:r>
        <w:rPr>
          <w:rFonts w:ascii="Arial" w:eastAsia="Arial" w:hAnsi="Arial" w:cs="Arial"/>
          <w:b/>
        </w:rPr>
        <w:t>6</w:t>
      </w:r>
      <w:r>
        <w:rPr>
          <w:rFonts w:ascii="Arial" w:eastAsia="Arial" w:hAnsi="Arial" w:cs="Arial"/>
        </w:rPr>
        <w:t xml:space="preserve">, fill the d-orbital splitting diagrams </w:t>
      </w:r>
      <w:proofErr w:type="gramStart"/>
      <w:r>
        <w:rPr>
          <w:rFonts w:ascii="Arial" w:eastAsia="Arial" w:hAnsi="Arial" w:cs="Arial"/>
        </w:rPr>
        <w:t>for each geometry</w:t>
      </w:r>
      <w:proofErr w:type="gramEnd"/>
      <w:r>
        <w:rPr>
          <w:rFonts w:ascii="Arial" w:eastAsia="Arial" w:hAnsi="Arial" w:cs="Arial"/>
        </w:rPr>
        <w:t xml:space="preserve"> in a way that is consistent with the number of unpaired electrons in each molecule.</w:t>
      </w:r>
    </w:p>
    <w:p w14:paraId="268F75F7"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In general, NMR is only useful to characterize organometallic species that are diamagnetic. Howev</w:t>
      </w:r>
      <w:r>
        <w:rPr>
          <w:rFonts w:ascii="Arial" w:eastAsia="Arial" w:hAnsi="Arial" w:cs="Arial"/>
        </w:rPr>
        <w:t xml:space="preserve">er, the authors use NMR (Figure 1) to study conversion of </w:t>
      </w:r>
      <w:proofErr w:type="spellStart"/>
      <w:r>
        <w:rPr>
          <w:rFonts w:ascii="Arial" w:eastAsia="Arial" w:hAnsi="Arial" w:cs="Arial"/>
        </w:rPr>
        <w:t>dialkyl</w:t>
      </w:r>
      <w:proofErr w:type="spellEnd"/>
      <w:r>
        <w:rPr>
          <w:rFonts w:ascii="Arial" w:eastAsia="Arial" w:hAnsi="Arial" w:cs="Arial"/>
        </w:rPr>
        <w:t xml:space="preserve"> Fe complex </w:t>
      </w:r>
      <w:r>
        <w:rPr>
          <w:rFonts w:ascii="Arial" w:eastAsia="Arial" w:hAnsi="Arial" w:cs="Arial"/>
          <w:b/>
        </w:rPr>
        <w:t>4</w:t>
      </w:r>
      <w:r>
        <w:rPr>
          <w:rFonts w:ascii="Arial" w:eastAsia="Arial" w:hAnsi="Arial" w:cs="Arial"/>
        </w:rPr>
        <w:t xml:space="preserve"> to the iron </w:t>
      </w:r>
      <w:proofErr w:type="spellStart"/>
      <w:proofErr w:type="gramStart"/>
      <w:r>
        <w:rPr>
          <w:rFonts w:ascii="Arial" w:eastAsia="Arial" w:hAnsi="Arial" w:cs="Arial"/>
        </w:rPr>
        <w:t>bis</w:t>
      </w:r>
      <w:proofErr w:type="spellEnd"/>
      <w:r>
        <w:rPr>
          <w:rFonts w:ascii="Arial" w:eastAsia="Arial" w:hAnsi="Arial" w:cs="Arial"/>
        </w:rPr>
        <w:t>(</w:t>
      </w:r>
      <w:proofErr w:type="spellStart"/>
      <w:proofErr w:type="gramEnd"/>
      <w:r>
        <w:rPr>
          <w:rFonts w:ascii="Arial" w:eastAsia="Arial" w:hAnsi="Arial" w:cs="Arial"/>
        </w:rPr>
        <w:t>alkoxide</w:t>
      </w:r>
      <w:proofErr w:type="spellEnd"/>
      <w:r>
        <w:rPr>
          <w:rFonts w:ascii="Arial" w:eastAsia="Arial" w:hAnsi="Arial" w:cs="Arial"/>
        </w:rPr>
        <w:t xml:space="preserve">) complex </w:t>
      </w:r>
      <w:r>
        <w:rPr>
          <w:rFonts w:ascii="Arial" w:eastAsia="Arial" w:hAnsi="Arial" w:cs="Arial"/>
          <w:b/>
        </w:rPr>
        <w:t>5</w:t>
      </w:r>
      <w:r>
        <w:rPr>
          <w:rFonts w:ascii="Arial" w:eastAsia="Arial" w:hAnsi="Arial" w:cs="Arial"/>
        </w:rPr>
        <w:t>, which are both paramagnetic complexes. How are these spectra different from those typically observed for diamagnetic complexes?</w:t>
      </w:r>
    </w:p>
    <w:p w14:paraId="68AD507C"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What are key</w:t>
      </w:r>
      <w:r>
        <w:rPr>
          <w:rFonts w:ascii="Arial" w:eastAsia="Arial" w:hAnsi="Arial" w:cs="Arial"/>
        </w:rPr>
        <w:t xml:space="preserve"> features observed in the NMR spectra (Figure 1) that confirm that the reaction of complex 4 with an alcohol produces complex </w:t>
      </w:r>
      <w:r>
        <w:rPr>
          <w:rFonts w:ascii="Arial" w:eastAsia="Arial" w:hAnsi="Arial" w:cs="Arial"/>
          <w:b/>
        </w:rPr>
        <w:t>5</w:t>
      </w:r>
      <w:r>
        <w:rPr>
          <w:rFonts w:ascii="Arial" w:eastAsia="Arial" w:hAnsi="Arial" w:cs="Arial"/>
        </w:rPr>
        <w:t>?</w:t>
      </w:r>
    </w:p>
    <w:p w14:paraId="5BF58807" w14:textId="77777777" w:rsidR="00C20BA8" w:rsidRDefault="00C20BA8">
      <w:pPr>
        <w:pStyle w:val="normal0"/>
      </w:pPr>
    </w:p>
    <w:p w14:paraId="75704C5B" w14:textId="77777777" w:rsidR="00C20BA8" w:rsidRDefault="001A5F9B">
      <w:pPr>
        <w:pStyle w:val="normal0"/>
      </w:pPr>
      <w:r>
        <w:rPr>
          <w:rFonts w:ascii="Arial" w:eastAsia="Arial" w:hAnsi="Arial" w:cs="Arial"/>
          <w:b/>
        </w:rPr>
        <w:t>Mechanistic Questions</w:t>
      </w:r>
    </w:p>
    <w:p w14:paraId="702E3AC3"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How do metal </w:t>
      </w:r>
      <w:proofErr w:type="spellStart"/>
      <w:r>
        <w:rPr>
          <w:rFonts w:ascii="Arial" w:eastAsia="Arial" w:hAnsi="Arial" w:cs="Arial"/>
        </w:rPr>
        <w:t>alkoxide</w:t>
      </w:r>
      <w:proofErr w:type="spellEnd"/>
      <w:r>
        <w:rPr>
          <w:rFonts w:ascii="Arial" w:eastAsia="Arial" w:hAnsi="Arial" w:cs="Arial"/>
        </w:rPr>
        <w:t xml:space="preserve"> catalysts typically catalyze </w:t>
      </w:r>
      <w:proofErr w:type="spellStart"/>
      <w:r>
        <w:rPr>
          <w:rFonts w:ascii="Arial" w:eastAsia="Arial" w:hAnsi="Arial" w:cs="Arial"/>
        </w:rPr>
        <w:t>lactide</w:t>
      </w:r>
      <w:proofErr w:type="spellEnd"/>
      <w:r>
        <w:rPr>
          <w:rFonts w:ascii="Arial" w:eastAsia="Arial" w:hAnsi="Arial" w:cs="Arial"/>
        </w:rPr>
        <w:t xml:space="preserve"> polymerization? Please explain how these properties lead to the catalytic cycle shown in Scheme 1.</w:t>
      </w:r>
    </w:p>
    <w:p w14:paraId="389146D9"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The authors investigated the mechanism of the polymerization reaction and provided evidence for th</w:t>
      </w:r>
      <w:r>
        <w:rPr>
          <w:rFonts w:ascii="Arial" w:eastAsia="Arial" w:hAnsi="Arial" w:cs="Arial"/>
        </w:rPr>
        <w:t xml:space="preserve">eir suggestion that the reaction was a </w:t>
      </w:r>
      <w:r>
        <w:rPr>
          <w:rFonts w:ascii="Arial" w:eastAsia="Arial" w:hAnsi="Arial" w:cs="Arial"/>
          <w:i/>
        </w:rPr>
        <w:t>living polymerization</w:t>
      </w:r>
      <w:r>
        <w:rPr>
          <w:rFonts w:ascii="Arial" w:eastAsia="Arial" w:hAnsi="Arial" w:cs="Arial"/>
        </w:rPr>
        <w:t>. What evidence supported the suggested classification? What evidence was not consistent with this classification?</w:t>
      </w:r>
    </w:p>
    <w:p w14:paraId="3857BDFC"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The authors mention that iron </w:t>
      </w:r>
      <w:proofErr w:type="spellStart"/>
      <w:r>
        <w:rPr>
          <w:rFonts w:ascii="Arial" w:eastAsia="Arial" w:hAnsi="Arial" w:cs="Arial"/>
        </w:rPr>
        <w:t>alkoxides</w:t>
      </w:r>
      <w:proofErr w:type="spellEnd"/>
      <w:r>
        <w:rPr>
          <w:rFonts w:ascii="Arial" w:eastAsia="Arial" w:hAnsi="Arial" w:cs="Arial"/>
        </w:rPr>
        <w:t xml:space="preserve"> could form in solution if dissociation of</w:t>
      </w:r>
      <w:r>
        <w:rPr>
          <w:rFonts w:ascii="Arial" w:eastAsia="Arial" w:hAnsi="Arial" w:cs="Arial"/>
        </w:rPr>
        <w:t xml:space="preserve"> the </w:t>
      </w:r>
      <w:proofErr w:type="spellStart"/>
      <w:proofErr w:type="gramStart"/>
      <w:r>
        <w:rPr>
          <w:rFonts w:ascii="Arial" w:eastAsia="Arial" w:hAnsi="Arial" w:cs="Arial"/>
        </w:rPr>
        <w:t>bis</w:t>
      </w:r>
      <w:proofErr w:type="spellEnd"/>
      <w:r>
        <w:rPr>
          <w:rFonts w:ascii="Arial" w:eastAsia="Arial" w:hAnsi="Arial" w:cs="Arial"/>
        </w:rPr>
        <w:t>(</w:t>
      </w:r>
      <w:proofErr w:type="spellStart"/>
      <w:proofErr w:type="gramEnd"/>
      <w:r>
        <w:rPr>
          <w:rFonts w:ascii="Arial" w:eastAsia="Arial" w:hAnsi="Arial" w:cs="Arial"/>
        </w:rPr>
        <w:t>imino</w:t>
      </w:r>
      <w:proofErr w:type="spellEnd"/>
      <w:r>
        <w:rPr>
          <w:rFonts w:ascii="Arial" w:eastAsia="Arial" w:hAnsi="Arial" w:cs="Arial"/>
        </w:rPr>
        <w:t xml:space="preserve">)pyridine ligand occurred under catalytic conditions and these iron </w:t>
      </w:r>
      <w:proofErr w:type="spellStart"/>
      <w:r>
        <w:rPr>
          <w:rFonts w:ascii="Arial" w:eastAsia="Arial" w:hAnsi="Arial" w:cs="Arial"/>
        </w:rPr>
        <w:t>alkoxides</w:t>
      </w:r>
      <w:proofErr w:type="spellEnd"/>
      <w:r>
        <w:rPr>
          <w:rFonts w:ascii="Arial" w:eastAsia="Arial" w:hAnsi="Arial" w:cs="Arial"/>
        </w:rPr>
        <w:t xml:space="preserve"> could initiate the polymerization reaction. Describe the findings and experiments conducted that support that the </w:t>
      </w:r>
      <w:proofErr w:type="spellStart"/>
      <w:proofErr w:type="gramStart"/>
      <w:r>
        <w:rPr>
          <w:rFonts w:ascii="Arial" w:eastAsia="Arial" w:hAnsi="Arial" w:cs="Arial"/>
        </w:rPr>
        <w:t>bis</w:t>
      </w:r>
      <w:proofErr w:type="spellEnd"/>
      <w:r>
        <w:rPr>
          <w:rFonts w:ascii="Arial" w:eastAsia="Arial" w:hAnsi="Arial" w:cs="Arial"/>
        </w:rPr>
        <w:t>(</w:t>
      </w:r>
      <w:proofErr w:type="spellStart"/>
      <w:proofErr w:type="gramEnd"/>
      <w:r>
        <w:rPr>
          <w:rFonts w:ascii="Arial" w:eastAsia="Arial" w:hAnsi="Arial" w:cs="Arial"/>
        </w:rPr>
        <w:t>imino</w:t>
      </w:r>
      <w:proofErr w:type="spellEnd"/>
      <w:r>
        <w:rPr>
          <w:rFonts w:ascii="Arial" w:eastAsia="Arial" w:hAnsi="Arial" w:cs="Arial"/>
        </w:rPr>
        <w:t>)pyridine ligand remains coordinated duri</w:t>
      </w:r>
      <w:r>
        <w:rPr>
          <w:rFonts w:ascii="Arial" w:eastAsia="Arial" w:hAnsi="Arial" w:cs="Arial"/>
        </w:rPr>
        <w:t>ng catalysis.</w:t>
      </w:r>
    </w:p>
    <w:p w14:paraId="19204D82"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The active Fe species 5 can be generated </w:t>
      </w:r>
      <w:r>
        <w:rPr>
          <w:rFonts w:ascii="Arial" w:eastAsia="Arial" w:hAnsi="Arial" w:cs="Arial"/>
          <w:i/>
        </w:rPr>
        <w:t>in situ</w:t>
      </w:r>
      <w:r>
        <w:rPr>
          <w:rFonts w:ascii="Arial" w:eastAsia="Arial" w:hAnsi="Arial" w:cs="Arial"/>
        </w:rPr>
        <w:t xml:space="preserve"> from complex 4. What does </w:t>
      </w:r>
      <w:r>
        <w:rPr>
          <w:rFonts w:ascii="Arial" w:eastAsia="Arial" w:hAnsi="Arial" w:cs="Arial"/>
          <w:i/>
        </w:rPr>
        <w:t>in situ</w:t>
      </w:r>
      <w:r>
        <w:rPr>
          <w:rFonts w:ascii="Arial" w:eastAsia="Arial" w:hAnsi="Arial" w:cs="Arial"/>
        </w:rPr>
        <w:t xml:space="preserve"> mean and how did the authors generate 5 </w:t>
      </w:r>
      <w:r>
        <w:rPr>
          <w:rFonts w:ascii="Arial" w:eastAsia="Arial" w:hAnsi="Arial" w:cs="Arial"/>
          <w:i/>
        </w:rPr>
        <w:t>in situ</w:t>
      </w:r>
      <w:r>
        <w:rPr>
          <w:rFonts w:ascii="Arial" w:eastAsia="Arial" w:hAnsi="Arial" w:cs="Arial"/>
        </w:rPr>
        <w:t xml:space="preserve"> from complex 4?</w:t>
      </w:r>
    </w:p>
    <w:p w14:paraId="074A295B"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One cool thing the authors discovered is the catalysis is “switchable”, which means the catalyt</w:t>
      </w:r>
      <w:r>
        <w:rPr>
          <w:rFonts w:ascii="Arial" w:eastAsia="Arial" w:hAnsi="Arial" w:cs="Arial"/>
        </w:rPr>
        <w:t>ic reaction can be switched on and off by changing the oxidation state of iron center. What oxidation state for iron is necessary to “turn on” catalysis and what oxidation state for iron is not active for polymerization?</w:t>
      </w:r>
    </w:p>
    <w:p w14:paraId="43213338" w14:textId="77777777" w:rsidR="00C20BA8" w:rsidRDefault="001A5F9B">
      <w:pPr>
        <w:pStyle w:val="normal0"/>
        <w:numPr>
          <w:ilvl w:val="0"/>
          <w:numId w:val="1"/>
        </w:numPr>
        <w:ind w:hanging="360"/>
        <w:contextualSpacing/>
        <w:rPr>
          <w:rFonts w:ascii="Arial" w:eastAsia="Arial" w:hAnsi="Arial" w:cs="Arial"/>
        </w:rPr>
      </w:pPr>
      <w:r>
        <w:rPr>
          <w:rFonts w:ascii="Arial" w:eastAsia="Arial" w:hAnsi="Arial" w:cs="Arial"/>
        </w:rPr>
        <w:t xml:space="preserve">To study the switchable catalysis, </w:t>
      </w:r>
      <w:r>
        <w:rPr>
          <w:rFonts w:ascii="Arial" w:eastAsia="Arial" w:hAnsi="Arial" w:cs="Arial"/>
        </w:rPr>
        <w:t xml:space="preserve">the authors add </w:t>
      </w:r>
      <w:proofErr w:type="spellStart"/>
      <w:r>
        <w:rPr>
          <w:rFonts w:ascii="Arial" w:eastAsia="Arial" w:hAnsi="Arial" w:cs="Arial"/>
        </w:rPr>
        <w:t>ferrocenium</w:t>
      </w:r>
      <w:proofErr w:type="spellEnd"/>
      <w:r>
        <w:rPr>
          <w:rFonts w:ascii="Arial" w:eastAsia="Arial" w:hAnsi="Arial" w:cs="Arial"/>
        </w:rPr>
        <w:t xml:space="preserve"> </w:t>
      </w:r>
      <w:proofErr w:type="spellStart"/>
      <w:r>
        <w:rPr>
          <w:rFonts w:ascii="Arial" w:eastAsia="Arial" w:hAnsi="Arial" w:cs="Arial"/>
        </w:rPr>
        <w:t>hexaflurophosphate</w:t>
      </w:r>
      <w:proofErr w:type="spellEnd"/>
      <w:r>
        <w:rPr>
          <w:rFonts w:ascii="Arial" w:eastAsia="Arial" w:hAnsi="Arial" w:cs="Arial"/>
        </w:rPr>
        <w:t xml:space="preserve"> (Cp</w:t>
      </w:r>
      <w:r>
        <w:rPr>
          <w:rFonts w:ascii="Arial" w:eastAsia="Arial" w:hAnsi="Arial" w:cs="Arial"/>
          <w:vertAlign w:val="subscript"/>
        </w:rPr>
        <w:t>2</w:t>
      </w:r>
      <w:r>
        <w:rPr>
          <w:rFonts w:ascii="Arial" w:eastAsia="Arial" w:hAnsi="Arial" w:cs="Arial"/>
        </w:rPr>
        <w:t>Fe</w:t>
      </w:r>
      <w:r>
        <w:rPr>
          <w:rFonts w:ascii="Arial" w:eastAsia="Arial" w:hAnsi="Arial" w:cs="Arial"/>
          <w:vertAlign w:val="superscript"/>
        </w:rPr>
        <w:t>+</w:t>
      </w:r>
      <w:r>
        <w:rPr>
          <w:rFonts w:ascii="Arial" w:eastAsia="Arial" w:hAnsi="Arial" w:cs="Arial"/>
        </w:rPr>
        <w:t xml:space="preserve">) and </w:t>
      </w:r>
      <w:proofErr w:type="spellStart"/>
      <w:r>
        <w:rPr>
          <w:rFonts w:ascii="Arial" w:eastAsia="Arial" w:hAnsi="Arial" w:cs="Arial"/>
        </w:rPr>
        <w:t>cobaltocene</w:t>
      </w:r>
      <w:proofErr w:type="spellEnd"/>
      <w:r>
        <w:rPr>
          <w:rFonts w:ascii="Arial" w:eastAsia="Arial" w:hAnsi="Arial" w:cs="Arial"/>
        </w:rPr>
        <w:t xml:space="preserve"> (Cp</w:t>
      </w:r>
      <w:r>
        <w:rPr>
          <w:rFonts w:ascii="Arial" w:eastAsia="Arial" w:hAnsi="Arial" w:cs="Arial"/>
          <w:vertAlign w:val="subscript"/>
        </w:rPr>
        <w:t>2</w:t>
      </w:r>
      <w:r>
        <w:rPr>
          <w:rFonts w:ascii="Arial" w:eastAsia="Arial" w:hAnsi="Arial" w:cs="Arial"/>
        </w:rPr>
        <w:t>Co) to switch the oxidation state of the iron in the catalyst. Please determine the electron count around each metal center. Based upon these electron counts, explain why each comp</w:t>
      </w:r>
      <w:r>
        <w:rPr>
          <w:rFonts w:ascii="Arial" w:eastAsia="Arial" w:hAnsi="Arial" w:cs="Arial"/>
        </w:rPr>
        <w:t>ound displays the redox behavior described in the article.</w:t>
      </w:r>
    </w:p>
    <w:p w14:paraId="6BB6B6CB" w14:textId="77777777" w:rsidR="00C20BA8" w:rsidRDefault="00C20BA8">
      <w:pPr>
        <w:pStyle w:val="normal0"/>
      </w:pPr>
    </w:p>
    <w:p w14:paraId="5B8F8693" w14:textId="77777777" w:rsidR="00C20BA8" w:rsidRDefault="00C20BA8">
      <w:pPr>
        <w:pStyle w:val="normal0"/>
      </w:pPr>
    </w:p>
    <w:p w14:paraId="2C2AA6EC" w14:textId="77777777" w:rsidR="00C20BA8" w:rsidRDefault="00C20BA8">
      <w:pPr>
        <w:pStyle w:val="normal0"/>
      </w:pPr>
    </w:p>
    <w:sectPr w:rsidR="00C20BA8">
      <w:head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919BA" w14:textId="77777777" w:rsidR="00000000" w:rsidRDefault="001A5F9B">
      <w:r>
        <w:separator/>
      </w:r>
    </w:p>
  </w:endnote>
  <w:endnote w:type="continuationSeparator" w:id="0">
    <w:p w14:paraId="569C5A8F" w14:textId="77777777" w:rsidR="00000000" w:rsidRDefault="001A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STIXGeneral-Regular">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26653" w14:textId="77777777" w:rsidR="00000000" w:rsidRDefault="001A5F9B">
      <w:r>
        <w:separator/>
      </w:r>
    </w:p>
  </w:footnote>
  <w:footnote w:type="continuationSeparator" w:id="0">
    <w:p w14:paraId="7D3777F5" w14:textId="77777777" w:rsidR="00000000" w:rsidRDefault="001A5F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03AA5" w14:textId="77777777" w:rsidR="00C20BA8" w:rsidRDefault="00C20BA8">
    <w:pPr>
      <w:pStyle w:val="normal0"/>
    </w:pPr>
  </w:p>
  <w:p w14:paraId="7786881B" w14:textId="77777777" w:rsidR="00C20BA8" w:rsidRDefault="001A5F9B">
    <w:pPr>
      <w:pStyle w:val="normal0"/>
    </w:pPr>
    <w:r>
      <w:rPr>
        <w:rFonts w:ascii="Arial" w:eastAsia="Arial" w:hAnsi="Arial" w:cs="Arial"/>
        <w:color w:val="525252"/>
        <w:sz w:val="20"/>
        <w:szCs w:val="20"/>
        <w:highlight w:val="white"/>
      </w:rPr>
      <w:t xml:space="preserve">Created by Anthony L. Fernandez (Merrimack College, </w:t>
    </w:r>
    <w:hyperlink r:id="rId1">
      <w:r>
        <w:rPr>
          <w:rFonts w:ascii="Arial" w:eastAsia="Arial" w:hAnsi="Arial" w:cs="Arial"/>
          <w:color w:val="1155CC"/>
          <w:sz w:val="20"/>
          <w:szCs w:val="20"/>
          <w:highlight w:val="white"/>
          <w:u w:val="single"/>
        </w:rPr>
        <w:t>fernandeza@merrimack.edu</w:t>
      </w:r>
    </w:hyperlink>
    <w:r>
      <w:rPr>
        <w:rFonts w:ascii="Arial" w:eastAsia="Arial" w:hAnsi="Arial" w:cs="Arial"/>
        <w:color w:val="525252"/>
        <w:sz w:val="20"/>
        <w:szCs w:val="20"/>
        <w:highlight w:val="white"/>
      </w:rPr>
      <w:t xml:space="preserve">) and Abby O’Connor (The College of New Jersey, </w:t>
    </w:r>
    <w:hyperlink r:id="rId2">
      <w:r>
        <w:rPr>
          <w:rFonts w:ascii="Arial" w:eastAsia="Arial" w:hAnsi="Arial" w:cs="Arial"/>
          <w:color w:val="1155CC"/>
          <w:sz w:val="20"/>
          <w:szCs w:val="20"/>
          <w:highlight w:val="white"/>
          <w:u w:val="single"/>
        </w:rPr>
        <w:t>oconnora@tcnj.edu</w:t>
      </w:r>
    </w:hyperlink>
    <w:r>
      <w:rPr>
        <w:rFonts w:ascii="Arial" w:eastAsia="Arial" w:hAnsi="Arial" w:cs="Arial"/>
        <w:color w:val="525252"/>
        <w:sz w:val="20"/>
        <w:szCs w:val="20"/>
        <w:highlight w:val="white"/>
      </w:rPr>
      <w:t>) a</w:t>
    </w:r>
    <w:r w:rsidR="001C5BFD">
      <w:rPr>
        <w:rFonts w:ascii="Arial" w:eastAsia="Arial" w:hAnsi="Arial" w:cs="Arial"/>
        <w:color w:val="525252"/>
        <w:sz w:val="20"/>
        <w:szCs w:val="20"/>
        <w:highlight w:val="white"/>
      </w:rPr>
      <w:t xml:space="preserve">nd posted on </w:t>
    </w:r>
    <w:proofErr w:type="spellStart"/>
    <w:r w:rsidR="001C5BFD">
      <w:rPr>
        <w:rFonts w:ascii="Arial" w:eastAsia="Arial" w:hAnsi="Arial" w:cs="Arial"/>
        <w:color w:val="525252"/>
        <w:sz w:val="20"/>
        <w:szCs w:val="20"/>
        <w:highlight w:val="white"/>
      </w:rPr>
      <w:t>VIPEr</w:t>
    </w:r>
    <w:proofErr w:type="spellEnd"/>
    <w:r w:rsidR="001C5BFD">
      <w:rPr>
        <w:rFonts w:ascii="Arial" w:eastAsia="Arial" w:hAnsi="Arial" w:cs="Arial"/>
        <w:color w:val="525252"/>
        <w:sz w:val="20"/>
        <w:szCs w:val="20"/>
        <w:highlight w:val="white"/>
      </w:rPr>
      <w:t xml:space="preserve"> on January 27</w:t>
    </w:r>
    <w:r>
      <w:rPr>
        <w:rFonts w:ascii="Arial" w:eastAsia="Arial" w:hAnsi="Arial" w:cs="Arial"/>
        <w:color w:val="525252"/>
        <w:sz w:val="20"/>
        <w:szCs w:val="20"/>
        <w:highlight w:val="white"/>
      </w:rPr>
      <w:t>, 2017, Copyright Anthony L. Fernandez and Abby O’Connor, 2017. This work is licensed un</w:t>
    </w:r>
    <w:r>
      <w:rPr>
        <w:rFonts w:ascii="Arial" w:eastAsia="Arial" w:hAnsi="Arial" w:cs="Arial"/>
        <w:color w:val="525252"/>
        <w:sz w:val="20"/>
        <w:szCs w:val="20"/>
        <w:highlight w:val="white"/>
      </w:rPr>
      <w:t>der the Creative Commons Attribution-</w:t>
    </w:r>
    <w:proofErr w:type="spellStart"/>
    <w:r>
      <w:rPr>
        <w:rFonts w:ascii="Arial" w:eastAsia="Arial" w:hAnsi="Arial" w:cs="Arial"/>
        <w:color w:val="525252"/>
        <w:sz w:val="20"/>
        <w:szCs w:val="20"/>
        <w:highlight w:val="white"/>
      </w:rPr>
      <w:t>NonCommercial</w:t>
    </w:r>
    <w:proofErr w:type="spellEnd"/>
    <w:r>
      <w:rPr>
        <w:rFonts w:ascii="Arial" w:eastAsia="Arial" w:hAnsi="Arial" w:cs="Arial"/>
        <w:color w:val="525252"/>
        <w:sz w:val="20"/>
        <w:szCs w:val="20"/>
        <w:highlight w:val="white"/>
      </w:rPr>
      <w:t>-</w:t>
    </w:r>
    <w:proofErr w:type="spellStart"/>
    <w:r>
      <w:rPr>
        <w:rFonts w:ascii="Arial" w:eastAsia="Arial" w:hAnsi="Arial" w:cs="Arial"/>
        <w:color w:val="525252"/>
        <w:sz w:val="20"/>
        <w:szCs w:val="20"/>
        <w:highlight w:val="white"/>
      </w:rPr>
      <w:t>ShareAlike</w:t>
    </w:r>
    <w:proofErr w:type="spellEnd"/>
    <w:r>
      <w:rPr>
        <w:rFonts w:ascii="Arial" w:eastAsia="Arial" w:hAnsi="Arial" w:cs="Arial"/>
        <w:color w:val="525252"/>
        <w:sz w:val="20"/>
        <w:szCs w:val="20"/>
        <w:highlight w:val="white"/>
      </w:rPr>
      <w:t xml:space="preserve"> (CC BY-NC-SA) License. To view a copy of this license visit </w:t>
    </w:r>
    <w:hyperlink r:id="rId3">
      <w:r>
        <w:rPr>
          <w:rFonts w:ascii="Arial" w:eastAsia="Arial" w:hAnsi="Arial" w:cs="Arial"/>
          <w:color w:val="044F0A"/>
          <w:sz w:val="20"/>
          <w:szCs w:val="20"/>
          <w:highlight w:val="white"/>
        </w:rPr>
        <w:t>http://creativecommons.org/about/license/</w:t>
      </w:r>
    </w:hyperlink>
    <w:r>
      <w:rPr>
        <w:rFonts w:ascii="Arial" w:eastAsia="Arial" w:hAnsi="Arial" w:cs="Arial"/>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A3976"/>
    <w:multiLevelType w:val="multilevel"/>
    <w:tmpl w:val="606A25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0BA8"/>
    <w:rsid w:val="001A5F9B"/>
    <w:rsid w:val="001C5BFD"/>
    <w:rsid w:val="00C2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08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5BFD"/>
    <w:rPr>
      <w:rFonts w:ascii="Lucida Grande" w:hAnsi="Lucida Grande"/>
      <w:sz w:val="18"/>
      <w:szCs w:val="18"/>
    </w:rPr>
  </w:style>
  <w:style w:type="character" w:customStyle="1" w:styleId="BalloonTextChar">
    <w:name w:val="Balloon Text Char"/>
    <w:basedOn w:val="DefaultParagraphFont"/>
    <w:link w:val="BalloonText"/>
    <w:uiPriority w:val="99"/>
    <w:semiHidden/>
    <w:rsid w:val="001C5BFD"/>
    <w:rPr>
      <w:rFonts w:ascii="Lucida Grande" w:hAnsi="Lucida Grande"/>
      <w:sz w:val="18"/>
      <w:szCs w:val="18"/>
    </w:rPr>
  </w:style>
  <w:style w:type="paragraph" w:styleId="Header">
    <w:name w:val="header"/>
    <w:basedOn w:val="Normal"/>
    <w:link w:val="HeaderChar"/>
    <w:uiPriority w:val="99"/>
    <w:unhideWhenUsed/>
    <w:rsid w:val="001C5BFD"/>
    <w:pPr>
      <w:tabs>
        <w:tab w:val="center" w:pos="4320"/>
        <w:tab w:val="right" w:pos="8640"/>
      </w:tabs>
    </w:pPr>
  </w:style>
  <w:style w:type="character" w:customStyle="1" w:styleId="HeaderChar">
    <w:name w:val="Header Char"/>
    <w:basedOn w:val="DefaultParagraphFont"/>
    <w:link w:val="Header"/>
    <w:uiPriority w:val="99"/>
    <w:rsid w:val="001C5BFD"/>
  </w:style>
  <w:style w:type="paragraph" w:styleId="Footer">
    <w:name w:val="footer"/>
    <w:basedOn w:val="Normal"/>
    <w:link w:val="FooterChar"/>
    <w:uiPriority w:val="99"/>
    <w:unhideWhenUsed/>
    <w:rsid w:val="001C5BFD"/>
    <w:pPr>
      <w:tabs>
        <w:tab w:val="center" w:pos="4320"/>
        <w:tab w:val="right" w:pos="8640"/>
      </w:tabs>
    </w:pPr>
  </w:style>
  <w:style w:type="character" w:customStyle="1" w:styleId="FooterChar">
    <w:name w:val="Footer Char"/>
    <w:basedOn w:val="DefaultParagraphFont"/>
    <w:link w:val="Footer"/>
    <w:uiPriority w:val="99"/>
    <w:rsid w:val="001C5B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5BFD"/>
    <w:rPr>
      <w:rFonts w:ascii="Lucida Grande" w:hAnsi="Lucida Grande"/>
      <w:sz w:val="18"/>
      <w:szCs w:val="18"/>
    </w:rPr>
  </w:style>
  <w:style w:type="character" w:customStyle="1" w:styleId="BalloonTextChar">
    <w:name w:val="Balloon Text Char"/>
    <w:basedOn w:val="DefaultParagraphFont"/>
    <w:link w:val="BalloonText"/>
    <w:uiPriority w:val="99"/>
    <w:semiHidden/>
    <w:rsid w:val="001C5BFD"/>
    <w:rPr>
      <w:rFonts w:ascii="Lucida Grande" w:hAnsi="Lucida Grande"/>
      <w:sz w:val="18"/>
      <w:szCs w:val="18"/>
    </w:rPr>
  </w:style>
  <w:style w:type="paragraph" w:styleId="Header">
    <w:name w:val="header"/>
    <w:basedOn w:val="Normal"/>
    <w:link w:val="HeaderChar"/>
    <w:uiPriority w:val="99"/>
    <w:unhideWhenUsed/>
    <w:rsid w:val="001C5BFD"/>
    <w:pPr>
      <w:tabs>
        <w:tab w:val="center" w:pos="4320"/>
        <w:tab w:val="right" w:pos="8640"/>
      </w:tabs>
    </w:pPr>
  </w:style>
  <w:style w:type="character" w:customStyle="1" w:styleId="HeaderChar">
    <w:name w:val="Header Char"/>
    <w:basedOn w:val="DefaultParagraphFont"/>
    <w:link w:val="Header"/>
    <w:uiPriority w:val="99"/>
    <w:rsid w:val="001C5BFD"/>
  </w:style>
  <w:style w:type="paragraph" w:styleId="Footer">
    <w:name w:val="footer"/>
    <w:basedOn w:val="Normal"/>
    <w:link w:val="FooterChar"/>
    <w:uiPriority w:val="99"/>
    <w:unhideWhenUsed/>
    <w:rsid w:val="001C5BFD"/>
    <w:pPr>
      <w:tabs>
        <w:tab w:val="center" w:pos="4320"/>
        <w:tab w:val="right" w:pos="8640"/>
      </w:tabs>
    </w:pPr>
  </w:style>
  <w:style w:type="character" w:customStyle="1" w:styleId="FooterChar">
    <w:name w:val="Footer Char"/>
    <w:basedOn w:val="DefaultParagraphFont"/>
    <w:link w:val="Footer"/>
    <w:uiPriority w:val="99"/>
    <w:rsid w:val="001C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x/doi/org/10.1021/ja407920d"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mailto:fernandeza@merrimack.edu" TargetMode="External"/><Relationship Id="rId2" Type="http://schemas.openxmlformats.org/officeDocument/2006/relationships/hyperlink" Target="mailto:oconnora@tcnj.edu" TargetMode="External"/><Relationship Id="rId3"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4267</Characters>
  <Application>Microsoft Macintosh Word</Application>
  <DocSecurity>0</DocSecurity>
  <Lines>35</Lines>
  <Paragraphs>10</Paragraphs>
  <ScaleCrop>false</ScaleCrop>
  <Company>Merrimack College</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L. Fernandez</cp:lastModifiedBy>
  <cp:revision>3</cp:revision>
  <dcterms:created xsi:type="dcterms:W3CDTF">2017-01-28T01:36:00Z</dcterms:created>
  <dcterms:modified xsi:type="dcterms:W3CDTF">2017-01-28T01:37:00Z</dcterms:modified>
</cp:coreProperties>
</file>