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30B1" w:rsidRDefault="00AC74DF">
      <w:pPr>
        <w:keepNext/>
        <w:widowControl w:val="0"/>
        <w:pBdr>
          <w:top w:val="nil"/>
          <w:left w:val="nil"/>
          <w:bottom w:val="nil"/>
          <w:right w:val="nil"/>
          <w:between w:val="nil"/>
        </w:pBdr>
        <w:rPr>
          <w:b/>
          <w:smallCaps/>
          <w:color w:val="000000"/>
        </w:rPr>
      </w:pPr>
      <w:r>
        <w:rPr>
          <w:b/>
          <w:smallCaps/>
          <w:color w:val="000000"/>
        </w:rPr>
        <w:t>Zinc-Zinc Bonds</w:t>
      </w:r>
    </w:p>
    <w:p w14:paraId="00000002" w14:textId="77777777" w:rsidR="008F30B1" w:rsidRDefault="00AC74DF">
      <w:pPr>
        <w:keepNext/>
        <w:widowControl w:val="0"/>
        <w:pBdr>
          <w:top w:val="nil"/>
          <w:left w:val="nil"/>
          <w:bottom w:val="nil"/>
          <w:right w:val="nil"/>
          <w:between w:val="nil"/>
        </w:pBdr>
        <w:rPr>
          <w:b/>
          <w:smallCaps/>
          <w:color w:val="000000"/>
        </w:rPr>
      </w:pPr>
      <w:r>
        <w:rPr>
          <w:b/>
          <w:smallCaps/>
          <w:color w:val="000000"/>
        </w:rPr>
        <w:t>Literature Reading Assignment</w:t>
      </w:r>
    </w:p>
    <w:p w14:paraId="00000003" w14:textId="77777777" w:rsidR="008F30B1" w:rsidRDefault="00AC74DF">
      <w:pPr>
        <w:widowControl w:val="0"/>
        <w:spacing w:before="240"/>
        <w:rPr>
          <w:rFonts w:ascii="AdvPS_TTI" w:eastAsia="AdvPS_TTI" w:hAnsi="AdvPS_TTI" w:cs="AdvPS_TTI"/>
          <w:color w:val="000000"/>
        </w:rPr>
      </w:pPr>
      <w:r>
        <w:rPr>
          <w:rFonts w:ascii="AdvPS_TTI" w:eastAsia="AdvPS_TTI" w:hAnsi="AdvPS_TTI" w:cs="AdvPS_TTI"/>
          <w:i/>
          <w:color w:val="000000"/>
        </w:rPr>
        <w:t>Read the following article before class:</w:t>
      </w:r>
    </w:p>
    <w:p w14:paraId="00000004" w14:textId="57557598" w:rsidR="008F30B1" w:rsidRDefault="00AC74DF">
      <w:pPr>
        <w:widowControl w:val="0"/>
        <w:spacing w:before="240"/>
        <w:ind w:left="180" w:hanging="180"/>
      </w:pPr>
      <w:r w:rsidRPr="006B480F">
        <w:t xml:space="preserve">Irene Resa, Ernesto Carmona, Enrique Gutierrez-Puebla, and Angeles Monge, “Decamethyldizincocene, a Stable Compound of Zn(I) with a Zn–Zn Bond,” </w:t>
      </w:r>
      <w:r w:rsidRPr="006B480F">
        <w:rPr>
          <w:i/>
        </w:rPr>
        <w:t>Science</w:t>
      </w:r>
      <w:r w:rsidRPr="006B480F">
        <w:t xml:space="preserve"> </w:t>
      </w:r>
      <w:r w:rsidRPr="006B480F">
        <w:rPr>
          <w:b/>
        </w:rPr>
        <w:t>2004</w:t>
      </w:r>
      <w:r w:rsidRPr="006B480F">
        <w:t xml:space="preserve">, </w:t>
      </w:r>
      <w:r w:rsidRPr="006B480F">
        <w:rPr>
          <w:i/>
        </w:rPr>
        <w:t>305</w:t>
      </w:r>
      <w:r w:rsidRPr="006B480F">
        <w:t>, 1136</w:t>
      </w:r>
      <w:r w:rsidR="00834055">
        <w:t xml:space="preserve"> – </w:t>
      </w:r>
      <w:r w:rsidRPr="006B480F">
        <w:t>1138.</w:t>
      </w:r>
    </w:p>
    <w:p w14:paraId="7F7F43EE" w14:textId="4B7E00A0" w:rsidR="006B480F" w:rsidRPr="000E03C7" w:rsidRDefault="00834055" w:rsidP="000E03C7">
      <w:pPr>
        <w:widowControl w:val="0"/>
        <w:spacing w:before="240"/>
        <w:ind w:left="180" w:hanging="180"/>
      </w:pPr>
      <w:r>
        <w:t xml:space="preserve">Gerard Parkin, Zinc-Zinc Bonds: A New Frontier </w:t>
      </w:r>
      <w:r>
        <w:rPr>
          <w:i/>
        </w:rPr>
        <w:t>Science</w:t>
      </w:r>
      <w:r>
        <w:t xml:space="preserve"> </w:t>
      </w:r>
      <w:r>
        <w:rPr>
          <w:b/>
        </w:rPr>
        <w:t>2004</w:t>
      </w:r>
      <w:r>
        <w:t xml:space="preserve">, </w:t>
      </w:r>
      <w:r>
        <w:rPr>
          <w:i/>
        </w:rPr>
        <w:t>305</w:t>
      </w:r>
      <w:r>
        <w:t>, 1117 – 1118.</w:t>
      </w:r>
    </w:p>
    <w:p w14:paraId="0000000F" w14:textId="4836F5C4" w:rsidR="008F30B1" w:rsidRDefault="00AC74DF">
      <w:pPr>
        <w:spacing w:before="240"/>
        <w:rPr>
          <w:i/>
        </w:rPr>
      </w:pPr>
      <w:r>
        <w:rPr>
          <w:i/>
          <w:color w:val="000000"/>
        </w:rPr>
        <w:t>To prepare for discussion, work the following problems to turn in:</w:t>
      </w:r>
    </w:p>
    <w:p w14:paraId="6A422400" w14:textId="77777777" w:rsidR="006B480F" w:rsidRDefault="00AC74DF" w:rsidP="006B480F">
      <w:pPr>
        <w:pStyle w:val="ListParagraph"/>
        <w:widowControl w:val="0"/>
        <w:numPr>
          <w:ilvl w:val="0"/>
          <w:numId w:val="6"/>
        </w:numPr>
        <w:spacing w:before="240"/>
      </w:pPr>
      <w:r>
        <w:t>The structure of the starting material bis(pentamethylcyclopentadienyl)zinc, (C</w:t>
      </w:r>
      <w:r w:rsidRPr="006B480F">
        <w:rPr>
          <w:vertAlign w:val="subscript"/>
        </w:rPr>
        <w:t>5</w:t>
      </w:r>
      <w:r>
        <w:t>Me</w:t>
      </w:r>
      <w:r w:rsidRPr="006B480F">
        <w:rPr>
          <w:vertAlign w:val="subscript"/>
        </w:rPr>
        <w:t>5</w:t>
      </w:r>
      <w:r>
        <w:t>)</w:t>
      </w:r>
      <w:r w:rsidRPr="006B480F">
        <w:rPr>
          <w:vertAlign w:val="subscript"/>
        </w:rPr>
        <w:t>2</w:t>
      </w:r>
      <w:r>
        <w:t xml:space="preserve">Zn, has been described as an “open-faced” sandwich structure, consisting of one </w:t>
      </w:r>
      <w:r w:rsidRPr="006B480F">
        <w:rPr>
          <w:rFonts w:ascii="Noto Sans Symbols" w:eastAsia="Noto Sans Symbols" w:hAnsi="Noto Sans Symbols" w:cs="Noto Sans Symbols"/>
        </w:rPr>
        <w:t>η</w:t>
      </w:r>
      <w:r w:rsidRPr="006B480F">
        <w:rPr>
          <w:vertAlign w:val="superscript"/>
        </w:rPr>
        <w:t>5</w:t>
      </w:r>
      <w:r>
        <w:t xml:space="preserve">-Cp* ring and one </w:t>
      </w:r>
      <w:r w:rsidRPr="006B480F">
        <w:rPr>
          <w:rFonts w:ascii="Noto Sans Symbols" w:eastAsia="Noto Sans Symbols" w:hAnsi="Noto Sans Symbols" w:cs="Noto Sans Symbols"/>
        </w:rPr>
        <w:t>η</w:t>
      </w:r>
      <w:r w:rsidRPr="006B480F">
        <w:rPr>
          <w:vertAlign w:val="superscript"/>
        </w:rPr>
        <w:t>1</w:t>
      </w:r>
      <w:r>
        <w:t xml:space="preserve">-Cp* ring rather than a “regular” sandwich structure composed of two </w:t>
      </w:r>
      <w:r w:rsidRPr="006B480F">
        <w:rPr>
          <w:rFonts w:ascii="Noto Sans Symbols" w:eastAsia="Noto Sans Symbols" w:hAnsi="Noto Sans Symbols" w:cs="Noto Sans Symbols"/>
        </w:rPr>
        <w:t>η</w:t>
      </w:r>
      <w:r w:rsidRPr="006B480F">
        <w:rPr>
          <w:vertAlign w:val="superscript"/>
        </w:rPr>
        <w:t>5</w:t>
      </w:r>
      <w:r>
        <w:t xml:space="preserve">-Cp* rings. </w:t>
      </w:r>
    </w:p>
    <w:p w14:paraId="35CBBBC7" w14:textId="77777777" w:rsidR="006B480F" w:rsidRDefault="00AC74DF" w:rsidP="006B480F">
      <w:pPr>
        <w:pStyle w:val="ListParagraph"/>
        <w:widowControl w:val="0"/>
        <w:numPr>
          <w:ilvl w:val="1"/>
          <w:numId w:val="6"/>
        </w:numPr>
        <w:spacing w:before="240"/>
      </w:pPr>
      <w:r>
        <w:t>Rationalize the “open-faced” sandwich structure for (C</w:t>
      </w:r>
      <w:r w:rsidRPr="006B480F">
        <w:rPr>
          <w:vertAlign w:val="subscript"/>
        </w:rPr>
        <w:t>5</w:t>
      </w:r>
      <w:r>
        <w:t>Me</w:t>
      </w:r>
      <w:r w:rsidRPr="006B480F">
        <w:rPr>
          <w:vertAlign w:val="subscript"/>
        </w:rPr>
        <w:t>5</w:t>
      </w:r>
      <w:r>
        <w:t>)</w:t>
      </w:r>
      <w:r w:rsidRPr="006B480F">
        <w:rPr>
          <w:vertAlign w:val="subscript"/>
        </w:rPr>
        <w:t>2</w:t>
      </w:r>
      <w:r>
        <w:t>Zn based on electron counting formalisms.</w:t>
      </w:r>
    </w:p>
    <w:p w14:paraId="3091C133" w14:textId="03FC8F06" w:rsidR="006B480F" w:rsidRDefault="00AC74DF" w:rsidP="006B480F">
      <w:pPr>
        <w:pStyle w:val="ListParagraph"/>
        <w:widowControl w:val="0"/>
        <w:numPr>
          <w:ilvl w:val="1"/>
          <w:numId w:val="6"/>
        </w:numPr>
        <w:spacing w:before="240"/>
      </w:pPr>
      <w:r>
        <w:t xml:space="preserve">How many peaks would you expect to see in the </w:t>
      </w:r>
      <w:r w:rsidRPr="006B480F">
        <w:rPr>
          <w:vertAlign w:val="superscript"/>
        </w:rPr>
        <w:t>1</w:t>
      </w:r>
      <w:r>
        <w:t>H NMR of the starting material, (C</w:t>
      </w:r>
      <w:r w:rsidRPr="006B480F">
        <w:rPr>
          <w:vertAlign w:val="subscript"/>
        </w:rPr>
        <w:t>5</w:t>
      </w:r>
      <w:r>
        <w:t>Me</w:t>
      </w:r>
      <w:r w:rsidRPr="006B480F">
        <w:rPr>
          <w:vertAlign w:val="subscript"/>
        </w:rPr>
        <w:t>5</w:t>
      </w:r>
      <w:r>
        <w:t>)</w:t>
      </w:r>
      <w:r w:rsidRPr="006B480F">
        <w:rPr>
          <w:vertAlign w:val="subscript"/>
        </w:rPr>
        <w:t>2</w:t>
      </w:r>
      <w:r>
        <w:t>Zn?   If only one singlet is observed, how might you interpret this?   How could changing the temperature when running the NMR help you confirm your suspicions?</w:t>
      </w:r>
    </w:p>
    <w:p w14:paraId="0B079EDE" w14:textId="77777777" w:rsidR="006B480F" w:rsidRDefault="006B480F" w:rsidP="006B480F">
      <w:pPr>
        <w:widowControl w:val="0"/>
        <w:spacing w:before="240"/>
      </w:pPr>
    </w:p>
    <w:p w14:paraId="65A82ED8" w14:textId="048D34A5" w:rsidR="006B480F" w:rsidRDefault="00AC74DF" w:rsidP="006B480F">
      <w:pPr>
        <w:pStyle w:val="ListParagraph"/>
        <w:widowControl w:val="0"/>
        <w:numPr>
          <w:ilvl w:val="0"/>
          <w:numId w:val="6"/>
        </w:numPr>
        <w:pBdr>
          <w:top w:val="nil"/>
          <w:left w:val="nil"/>
          <w:bottom w:val="nil"/>
          <w:right w:val="nil"/>
          <w:between w:val="nil"/>
        </w:pBdr>
        <w:spacing w:before="240"/>
      </w:pPr>
      <w:r>
        <w:t xml:space="preserve">The authors explain that when compound </w:t>
      </w:r>
      <w:r w:rsidRPr="006B480F">
        <w:rPr>
          <w:b/>
        </w:rPr>
        <w:t>1</w:t>
      </w:r>
      <w:r>
        <w:t xml:space="preserve"> is reacted with water, a disproportionation reaction occurs.</w:t>
      </w:r>
    </w:p>
    <w:p w14:paraId="38294B0D" w14:textId="3A5FFB0C" w:rsidR="00834055" w:rsidRDefault="00834055" w:rsidP="00834055">
      <w:pPr>
        <w:pStyle w:val="ListParagraph"/>
        <w:widowControl w:val="0"/>
        <w:numPr>
          <w:ilvl w:val="1"/>
          <w:numId w:val="6"/>
        </w:numPr>
        <w:pBdr>
          <w:top w:val="nil"/>
          <w:left w:val="nil"/>
          <w:bottom w:val="nil"/>
          <w:right w:val="nil"/>
          <w:between w:val="nil"/>
        </w:pBdr>
        <w:spacing w:before="240"/>
      </w:pPr>
      <w:r>
        <w:t xml:space="preserve">Write a balanced reaction equation for the reaction of </w:t>
      </w:r>
      <w:r>
        <w:rPr>
          <w:b/>
        </w:rPr>
        <w:t>1</w:t>
      </w:r>
      <w:r>
        <w:t xml:space="preserve"> with water.</w:t>
      </w:r>
    </w:p>
    <w:p w14:paraId="18896B8A" w14:textId="77777777" w:rsidR="006B480F" w:rsidRDefault="00AC74DF" w:rsidP="006B480F">
      <w:pPr>
        <w:pStyle w:val="ListParagraph"/>
        <w:widowControl w:val="0"/>
        <w:numPr>
          <w:ilvl w:val="1"/>
          <w:numId w:val="6"/>
        </w:numPr>
        <w:pBdr>
          <w:top w:val="nil"/>
          <w:left w:val="nil"/>
          <w:bottom w:val="nil"/>
          <w:right w:val="nil"/>
          <w:between w:val="nil"/>
        </w:pBdr>
        <w:spacing w:before="240"/>
      </w:pPr>
      <w:r>
        <w:t>Assign the oxidation state of zinc in the reactants and products of this reaction.</w:t>
      </w:r>
    </w:p>
    <w:p w14:paraId="6A59E2A5" w14:textId="77777777" w:rsidR="006B480F" w:rsidRDefault="00AC74DF" w:rsidP="006B480F">
      <w:pPr>
        <w:pStyle w:val="ListParagraph"/>
        <w:widowControl w:val="0"/>
        <w:numPr>
          <w:ilvl w:val="1"/>
          <w:numId w:val="6"/>
        </w:numPr>
        <w:pBdr>
          <w:top w:val="nil"/>
          <w:left w:val="nil"/>
          <w:bottom w:val="nil"/>
          <w:right w:val="nil"/>
          <w:between w:val="nil"/>
        </w:pBdr>
        <w:spacing w:before="240"/>
      </w:pPr>
      <w:r>
        <w:t xml:space="preserve">Based on the oxidation states in part a, which compound is being oxidized and which is being reduced? </w:t>
      </w:r>
    </w:p>
    <w:p w14:paraId="00000016" w14:textId="5B951958" w:rsidR="008F30B1" w:rsidRDefault="00AC74DF" w:rsidP="006B480F">
      <w:pPr>
        <w:pStyle w:val="ListParagraph"/>
        <w:widowControl w:val="0"/>
        <w:numPr>
          <w:ilvl w:val="1"/>
          <w:numId w:val="6"/>
        </w:numPr>
        <w:pBdr>
          <w:top w:val="nil"/>
          <w:left w:val="nil"/>
          <w:bottom w:val="nil"/>
          <w:right w:val="nil"/>
          <w:between w:val="nil"/>
        </w:pBdr>
        <w:spacing w:before="240"/>
      </w:pPr>
      <w:r>
        <w:t xml:space="preserve">Based on your answer to part b, what is the definition of a disproportionation reaction? </w:t>
      </w:r>
    </w:p>
    <w:p w14:paraId="01FA331E" w14:textId="77777777" w:rsidR="006B480F" w:rsidRDefault="006B480F" w:rsidP="006B480F">
      <w:pPr>
        <w:widowControl w:val="0"/>
        <w:pBdr>
          <w:top w:val="nil"/>
          <w:left w:val="nil"/>
          <w:bottom w:val="nil"/>
          <w:right w:val="nil"/>
          <w:between w:val="nil"/>
        </w:pBdr>
        <w:spacing w:before="240"/>
      </w:pPr>
    </w:p>
    <w:p w14:paraId="0B309A84" w14:textId="62A47751" w:rsidR="006B480F" w:rsidRDefault="00AC74DF" w:rsidP="006B480F">
      <w:pPr>
        <w:pStyle w:val="ListParagraph"/>
        <w:widowControl w:val="0"/>
        <w:numPr>
          <w:ilvl w:val="0"/>
          <w:numId w:val="6"/>
        </w:numPr>
        <w:spacing w:before="240"/>
      </w:pPr>
      <w:r>
        <w:t xml:space="preserve">In both the article and the companion </w:t>
      </w:r>
      <w:r w:rsidRPr="006B480F">
        <w:rPr>
          <w:i/>
        </w:rPr>
        <w:t>Perspective</w:t>
      </w:r>
      <w:r>
        <w:t xml:space="preserve"> piece, the zinc-zinc distance is compared to Cd-Cd and Hg-Hg distances in compounds understood to have metal-metal bonds and to the metallic radii of the elements.</w:t>
      </w:r>
    </w:p>
    <w:p w14:paraId="36D9C631" w14:textId="77777777" w:rsidR="006B480F" w:rsidRDefault="00AC74DF" w:rsidP="006B480F">
      <w:pPr>
        <w:pStyle w:val="ListParagraph"/>
        <w:widowControl w:val="0"/>
        <w:numPr>
          <w:ilvl w:val="1"/>
          <w:numId w:val="6"/>
        </w:numPr>
        <w:spacing w:before="240"/>
      </w:pPr>
      <w:r>
        <w:t>Explain in detail the argument the authors use to rationalize there is a zinc-zinc bond in this compound.</w:t>
      </w:r>
    </w:p>
    <w:p w14:paraId="2879BAF1" w14:textId="0D059149" w:rsidR="006B480F" w:rsidRDefault="00AC74DF" w:rsidP="006B480F">
      <w:pPr>
        <w:pStyle w:val="ListParagraph"/>
        <w:widowControl w:val="0"/>
        <w:numPr>
          <w:ilvl w:val="1"/>
          <w:numId w:val="6"/>
        </w:numPr>
        <w:spacing w:before="240"/>
      </w:pPr>
      <w:r>
        <w:t xml:space="preserve">Explain why there is a fairly large increase in metal-metal bond distances and in </w:t>
      </w:r>
      <w:r>
        <w:lastRenderedPageBreak/>
        <w:t>the metallic radii in going from zinc to cadmium, but very little change in going from cadmium to mercury.</w:t>
      </w:r>
    </w:p>
    <w:p w14:paraId="76023721" w14:textId="77777777" w:rsidR="006B480F" w:rsidRDefault="006B480F" w:rsidP="006B480F">
      <w:pPr>
        <w:widowControl w:val="0"/>
        <w:spacing w:before="240"/>
      </w:pPr>
    </w:p>
    <w:p w14:paraId="00000018" w14:textId="41AC81A1" w:rsidR="008F30B1" w:rsidRPr="006B480F" w:rsidRDefault="00AC74DF" w:rsidP="006B480F">
      <w:pPr>
        <w:pStyle w:val="ListParagraph"/>
        <w:widowControl w:val="0"/>
        <w:numPr>
          <w:ilvl w:val="0"/>
          <w:numId w:val="6"/>
        </w:numPr>
        <w:pBdr>
          <w:top w:val="nil"/>
          <w:left w:val="nil"/>
          <w:bottom w:val="nil"/>
          <w:right w:val="nil"/>
          <w:between w:val="nil"/>
        </w:pBdr>
        <w:spacing w:before="240"/>
        <w:rPr>
          <w:color w:val="000000"/>
        </w:rPr>
      </w:pPr>
      <w:r w:rsidRPr="006B480F">
        <w:rPr>
          <w:color w:val="000000"/>
        </w:rPr>
        <w:t>Describe the evidence that rules out bridging hydride ligands in this molecule.</w:t>
      </w:r>
    </w:p>
    <w:p w14:paraId="7C1EB902" w14:textId="77777777" w:rsidR="006B480F" w:rsidRPr="006B480F" w:rsidRDefault="006B480F" w:rsidP="006B480F">
      <w:pPr>
        <w:widowControl w:val="0"/>
        <w:pBdr>
          <w:top w:val="nil"/>
          <w:left w:val="nil"/>
          <w:bottom w:val="nil"/>
          <w:right w:val="nil"/>
          <w:between w:val="nil"/>
        </w:pBdr>
        <w:spacing w:before="240"/>
        <w:rPr>
          <w:color w:val="000000"/>
        </w:rPr>
      </w:pPr>
    </w:p>
    <w:p w14:paraId="00000019" w14:textId="2303B178" w:rsidR="008F30B1" w:rsidRDefault="00AC74DF" w:rsidP="006B480F">
      <w:pPr>
        <w:pStyle w:val="ListParagraph"/>
        <w:widowControl w:val="0"/>
        <w:numPr>
          <w:ilvl w:val="0"/>
          <w:numId w:val="6"/>
        </w:numPr>
        <w:pBdr>
          <w:top w:val="nil"/>
          <w:left w:val="nil"/>
          <w:bottom w:val="nil"/>
          <w:right w:val="nil"/>
          <w:between w:val="nil"/>
        </w:pBdr>
        <w:spacing w:before="240"/>
      </w:pPr>
      <w:r>
        <w:t>Use SciFinder to locate another paper with a Zn</w:t>
      </w:r>
      <w:r w:rsidRPr="006B480F">
        <w:rPr>
          <w:vertAlign w:val="superscript"/>
        </w:rPr>
        <w:t>+</w:t>
      </w:r>
      <w:r>
        <w:t xml:space="preserve"> (Zn(I)) oxidation state and another paper with a Zn-Zn metallic bond. Provide your answers as ACS style references. </w:t>
      </w:r>
    </w:p>
    <w:p w14:paraId="41F65ABC" w14:textId="77777777" w:rsidR="006B480F" w:rsidRDefault="006B480F" w:rsidP="006B480F">
      <w:pPr>
        <w:widowControl w:val="0"/>
        <w:pBdr>
          <w:top w:val="nil"/>
          <w:left w:val="nil"/>
          <w:bottom w:val="nil"/>
          <w:right w:val="nil"/>
          <w:between w:val="nil"/>
        </w:pBdr>
        <w:spacing w:before="240"/>
      </w:pPr>
    </w:p>
    <w:p w14:paraId="0000001A" w14:textId="146FDBC5" w:rsidR="008F30B1" w:rsidRDefault="00AC74DF" w:rsidP="006B480F">
      <w:pPr>
        <w:pStyle w:val="ListParagraph"/>
        <w:widowControl w:val="0"/>
        <w:numPr>
          <w:ilvl w:val="0"/>
          <w:numId w:val="6"/>
        </w:numPr>
        <w:spacing w:before="240"/>
      </w:pPr>
      <w:r>
        <w:t>Provide an electron count for the product, compound 1.</w:t>
      </w:r>
    </w:p>
    <w:p w14:paraId="5B2E25E0" w14:textId="77777777" w:rsidR="006B480F" w:rsidRDefault="006B480F" w:rsidP="006B480F">
      <w:pPr>
        <w:widowControl w:val="0"/>
        <w:spacing w:before="240"/>
      </w:pPr>
    </w:p>
    <w:p w14:paraId="4F090140" w14:textId="37F81CD4" w:rsidR="006B480F" w:rsidRDefault="00AC74DF" w:rsidP="006B480F">
      <w:pPr>
        <w:pStyle w:val="ListParagraph"/>
        <w:widowControl w:val="0"/>
        <w:numPr>
          <w:ilvl w:val="0"/>
          <w:numId w:val="6"/>
        </w:numPr>
        <w:pBdr>
          <w:top w:val="nil"/>
          <w:left w:val="nil"/>
          <w:bottom w:val="nil"/>
          <w:right w:val="nil"/>
          <w:between w:val="nil"/>
        </w:pBdr>
        <w:spacing w:before="240"/>
      </w:pPr>
      <w:r>
        <w:t>What is the point group of the starting material</w:t>
      </w:r>
      <w:r w:rsidR="000E03C7">
        <w:t xml:space="preserve"> </w:t>
      </w:r>
      <w:r w:rsidR="000E03C7">
        <w:t>Zn(η</w:t>
      </w:r>
      <w:r w:rsidR="000E03C7">
        <w:rPr>
          <w:vertAlign w:val="superscript"/>
        </w:rPr>
        <w:t>5</w:t>
      </w:r>
      <w:r w:rsidR="000E03C7">
        <w:t>-C</w:t>
      </w:r>
      <w:r w:rsidR="000E03C7">
        <w:rPr>
          <w:vertAlign w:val="subscript"/>
        </w:rPr>
        <w:t>5</w:t>
      </w:r>
      <w:r w:rsidR="000E03C7">
        <w:t>Me</w:t>
      </w:r>
      <w:r w:rsidR="000E03C7">
        <w:rPr>
          <w:vertAlign w:val="subscript"/>
        </w:rPr>
        <w:t>5</w:t>
      </w:r>
      <w:r w:rsidR="000E03C7">
        <w:t>)(η</w:t>
      </w:r>
      <w:r w:rsidR="000E03C7">
        <w:rPr>
          <w:vertAlign w:val="superscript"/>
        </w:rPr>
        <w:t>1</w:t>
      </w:r>
      <w:r w:rsidR="000E03C7">
        <w:t>-C</w:t>
      </w:r>
      <w:r w:rsidR="000E03C7">
        <w:rPr>
          <w:vertAlign w:val="subscript"/>
        </w:rPr>
        <w:t>5</w:t>
      </w:r>
      <w:r w:rsidR="000E03C7">
        <w:t>Me</w:t>
      </w:r>
      <w:r w:rsidR="000E03C7">
        <w:rPr>
          <w:vertAlign w:val="subscript"/>
        </w:rPr>
        <w:t>5</w:t>
      </w:r>
      <w:r w:rsidR="000E03C7">
        <w:t>)</w:t>
      </w:r>
      <w:r>
        <w:t xml:space="preserve"> and compounds 1, 2, and 3?</w:t>
      </w:r>
    </w:p>
    <w:p w14:paraId="09061DD4" w14:textId="77777777" w:rsidR="006B480F" w:rsidRDefault="006B480F" w:rsidP="006B480F">
      <w:pPr>
        <w:widowControl w:val="0"/>
        <w:pBdr>
          <w:top w:val="nil"/>
          <w:left w:val="nil"/>
          <w:bottom w:val="nil"/>
          <w:right w:val="nil"/>
          <w:between w:val="nil"/>
        </w:pBdr>
        <w:spacing w:before="240"/>
      </w:pPr>
    </w:p>
    <w:p w14:paraId="0000001C" w14:textId="707F6430" w:rsidR="008F30B1" w:rsidRDefault="00AC74DF" w:rsidP="006B480F">
      <w:pPr>
        <w:pStyle w:val="ListParagraph"/>
        <w:widowControl w:val="0"/>
        <w:numPr>
          <w:ilvl w:val="0"/>
          <w:numId w:val="6"/>
        </w:numPr>
        <w:pBdr>
          <w:top w:val="nil"/>
          <w:left w:val="nil"/>
          <w:bottom w:val="nil"/>
          <w:right w:val="nil"/>
          <w:between w:val="nil"/>
        </w:pBdr>
        <w:spacing w:before="240"/>
      </w:pPr>
      <w:r>
        <w:t>Justify the lack of color reported for compound 1.</w:t>
      </w:r>
    </w:p>
    <w:p w14:paraId="544EDCF4" w14:textId="77777777" w:rsidR="006B480F" w:rsidRDefault="006B480F" w:rsidP="006B480F">
      <w:pPr>
        <w:widowControl w:val="0"/>
        <w:pBdr>
          <w:top w:val="nil"/>
          <w:left w:val="nil"/>
          <w:bottom w:val="nil"/>
          <w:right w:val="nil"/>
          <w:between w:val="nil"/>
        </w:pBdr>
        <w:spacing w:before="240"/>
      </w:pPr>
    </w:p>
    <w:p w14:paraId="0000001D" w14:textId="3BEAD610" w:rsidR="008F30B1" w:rsidRDefault="00AC74DF" w:rsidP="006B480F">
      <w:pPr>
        <w:pStyle w:val="ListParagraph"/>
        <w:widowControl w:val="0"/>
        <w:numPr>
          <w:ilvl w:val="0"/>
          <w:numId w:val="6"/>
        </w:numPr>
        <w:pBdr>
          <w:top w:val="nil"/>
          <w:left w:val="nil"/>
          <w:bottom w:val="nil"/>
          <w:right w:val="nil"/>
          <w:between w:val="nil"/>
        </w:pBdr>
        <w:spacing w:before="240"/>
      </w:pPr>
      <w:r>
        <w:t>Explain why two Zn(0) atoms cannot form a metal-metal bond.</w:t>
      </w:r>
    </w:p>
    <w:p w14:paraId="3B22F8C8" w14:textId="693D47B0" w:rsidR="000E03C7" w:rsidRDefault="000E03C7" w:rsidP="000E03C7">
      <w:pPr>
        <w:widowControl w:val="0"/>
        <w:pBdr>
          <w:top w:val="nil"/>
          <w:left w:val="nil"/>
          <w:bottom w:val="nil"/>
          <w:right w:val="nil"/>
          <w:between w:val="nil"/>
        </w:pBdr>
        <w:spacing w:before="240"/>
      </w:pPr>
    </w:p>
    <w:p w14:paraId="4E939EFD" w14:textId="77777777" w:rsidR="005F2A3C" w:rsidRDefault="005F2A3C" w:rsidP="005F2A3C">
      <w:pPr>
        <w:pStyle w:val="ListParagraph"/>
      </w:pPr>
    </w:p>
    <w:p w14:paraId="3AE69525" w14:textId="77777777" w:rsidR="005F2A3C" w:rsidRDefault="005F2A3C" w:rsidP="005F2A3C">
      <w:pPr>
        <w:pStyle w:val="ListParagraph"/>
        <w:widowControl w:val="0"/>
        <w:numPr>
          <w:ilvl w:val="0"/>
          <w:numId w:val="6"/>
        </w:numPr>
        <w:spacing w:before="240"/>
        <w:rPr>
          <w:rFonts w:ascii="Times New Roman" w:eastAsia="Arial" w:hAnsi="Times New Roman" w:cs="Times New Roman"/>
        </w:rPr>
      </w:pPr>
      <w:r w:rsidRPr="005F2A3C">
        <w:rPr>
          <w:rFonts w:ascii="Times New Roman" w:eastAsia="Arial" w:hAnsi="Times New Roman" w:cs="Times New Roman"/>
        </w:rPr>
        <w:t>Zn</w:t>
      </w:r>
      <w:r w:rsidRPr="005F2A3C">
        <w:rPr>
          <w:rFonts w:ascii="Times New Roman" w:eastAsia="Arial" w:hAnsi="Times New Roman" w:cs="Times New Roman"/>
          <w:vertAlign w:val="subscript"/>
        </w:rPr>
        <w:t>2</w:t>
      </w:r>
      <w:r w:rsidRPr="005F2A3C">
        <w:rPr>
          <w:rFonts w:ascii="Times New Roman" w:eastAsia="Arial" w:hAnsi="Times New Roman" w:cs="Times New Roman"/>
        </w:rPr>
        <w:t>(</w:t>
      </w:r>
      <w:r w:rsidRPr="005F2A3C">
        <w:rPr>
          <w:rFonts w:ascii="Times New Roman" w:hAnsi="Times New Roman" w:cs="Times New Roman"/>
        </w:rPr>
        <w:t>η</w:t>
      </w:r>
      <w:r w:rsidRPr="005F2A3C">
        <w:rPr>
          <w:rFonts w:ascii="Times New Roman" w:eastAsia="Arial" w:hAnsi="Times New Roman" w:cs="Times New Roman"/>
          <w:vertAlign w:val="superscript"/>
        </w:rPr>
        <w:t>5</w:t>
      </w:r>
      <w:r w:rsidRPr="005F2A3C">
        <w:rPr>
          <w:rFonts w:ascii="Times New Roman" w:eastAsia="Arial" w:hAnsi="Times New Roman" w:cs="Times New Roman"/>
        </w:rPr>
        <w:t>-C</w:t>
      </w:r>
      <w:r w:rsidRPr="005F2A3C">
        <w:rPr>
          <w:rFonts w:ascii="Times New Roman" w:eastAsia="Arial" w:hAnsi="Times New Roman" w:cs="Times New Roman"/>
          <w:vertAlign w:val="subscript"/>
        </w:rPr>
        <w:t>5</w:t>
      </w:r>
      <w:r w:rsidRPr="005F2A3C">
        <w:rPr>
          <w:rFonts w:ascii="Times New Roman" w:eastAsia="Arial" w:hAnsi="Times New Roman" w:cs="Times New Roman"/>
        </w:rPr>
        <w:t>Me</w:t>
      </w:r>
      <w:r w:rsidRPr="005F2A3C">
        <w:rPr>
          <w:rFonts w:ascii="Times New Roman" w:eastAsia="Arial" w:hAnsi="Times New Roman" w:cs="Times New Roman"/>
          <w:vertAlign w:val="subscript"/>
        </w:rPr>
        <w:t>5</w:t>
      </w:r>
      <w:r w:rsidRPr="005F2A3C">
        <w:rPr>
          <w:rFonts w:ascii="Times New Roman" w:eastAsia="Arial" w:hAnsi="Times New Roman" w:cs="Times New Roman"/>
        </w:rPr>
        <w:t>)</w:t>
      </w:r>
      <w:r w:rsidRPr="005F2A3C">
        <w:rPr>
          <w:rFonts w:ascii="Times New Roman" w:eastAsia="Arial" w:hAnsi="Times New Roman" w:cs="Times New Roman"/>
          <w:vertAlign w:val="subscript"/>
        </w:rPr>
        <w:t>2</w:t>
      </w:r>
      <w:r w:rsidRPr="005F2A3C">
        <w:rPr>
          <w:rFonts w:ascii="Times New Roman" w:eastAsia="Arial" w:hAnsi="Times New Roman" w:cs="Times New Roman"/>
        </w:rPr>
        <w:t xml:space="preserve"> can be described as a dimer between two Zn(</w:t>
      </w:r>
      <w:r w:rsidRPr="005F2A3C">
        <w:rPr>
          <w:rFonts w:ascii="Times New Roman" w:hAnsi="Times New Roman" w:cs="Times New Roman"/>
        </w:rPr>
        <w:t>η</w:t>
      </w:r>
      <w:r w:rsidRPr="005F2A3C">
        <w:rPr>
          <w:rFonts w:ascii="Times New Roman" w:eastAsia="Arial" w:hAnsi="Times New Roman" w:cs="Times New Roman"/>
          <w:vertAlign w:val="superscript"/>
        </w:rPr>
        <w:t>5</w:t>
      </w:r>
      <w:r w:rsidRPr="005F2A3C">
        <w:rPr>
          <w:rFonts w:ascii="Times New Roman" w:eastAsia="Arial" w:hAnsi="Times New Roman" w:cs="Times New Roman"/>
        </w:rPr>
        <w:t>-C</w:t>
      </w:r>
      <w:r w:rsidRPr="005F2A3C">
        <w:rPr>
          <w:rFonts w:ascii="Times New Roman" w:eastAsia="Arial" w:hAnsi="Times New Roman" w:cs="Times New Roman"/>
          <w:vertAlign w:val="subscript"/>
        </w:rPr>
        <w:t>5</w:t>
      </w:r>
      <w:r w:rsidRPr="005F2A3C">
        <w:rPr>
          <w:rFonts w:ascii="Times New Roman" w:eastAsia="Arial" w:hAnsi="Times New Roman" w:cs="Times New Roman"/>
        </w:rPr>
        <w:t>Me</w:t>
      </w:r>
      <w:r w:rsidRPr="005F2A3C">
        <w:rPr>
          <w:rFonts w:ascii="Times New Roman" w:eastAsia="Arial" w:hAnsi="Times New Roman" w:cs="Times New Roman"/>
          <w:vertAlign w:val="subscript"/>
        </w:rPr>
        <w:t>5</w:t>
      </w:r>
      <w:r w:rsidRPr="005F2A3C">
        <w:rPr>
          <w:rFonts w:ascii="Times New Roman" w:eastAsia="Arial" w:hAnsi="Times New Roman" w:cs="Times New Roman"/>
        </w:rPr>
        <w:t>)</w:t>
      </w:r>
      <w:r w:rsidRPr="005F2A3C">
        <w:rPr>
          <w:rFonts w:ascii="Times New Roman" w:eastAsia="Arial" w:hAnsi="Times New Roman" w:cs="Times New Roman"/>
          <w:vertAlign w:val="subscript"/>
        </w:rPr>
        <w:t xml:space="preserve"> </w:t>
      </w:r>
      <w:r w:rsidRPr="005F2A3C">
        <w:rPr>
          <w:rFonts w:ascii="Times New Roman" w:eastAsia="Arial" w:hAnsi="Times New Roman" w:cs="Times New Roman"/>
        </w:rPr>
        <w:t>fragments (below, methyl groups excluded for clarity). For the fragment and the molecule:</w:t>
      </w:r>
    </w:p>
    <w:p w14:paraId="3AF48622" w14:textId="77777777" w:rsidR="005F2A3C" w:rsidRPr="005F2A3C" w:rsidRDefault="005F2A3C" w:rsidP="005F2A3C">
      <w:pPr>
        <w:pStyle w:val="ListParagraph"/>
        <w:rPr>
          <w:rFonts w:ascii="Times New Roman" w:eastAsia="Arial" w:hAnsi="Times New Roman" w:cs="Times New Roman"/>
        </w:rPr>
      </w:pPr>
    </w:p>
    <w:p w14:paraId="40426676" w14:textId="6AFE5A99" w:rsidR="005F2A3C" w:rsidRPr="005F2A3C" w:rsidRDefault="005F2A3C" w:rsidP="005F2A3C">
      <w:pPr>
        <w:pStyle w:val="ListParagraph"/>
        <w:widowControl w:val="0"/>
        <w:numPr>
          <w:ilvl w:val="1"/>
          <w:numId w:val="6"/>
        </w:numPr>
        <w:spacing w:before="240"/>
        <w:rPr>
          <w:rFonts w:ascii="Times New Roman" w:eastAsia="Arial" w:hAnsi="Times New Roman" w:cs="Times New Roman"/>
        </w:rPr>
      </w:pPr>
      <w:r w:rsidRPr="005F2A3C">
        <w:rPr>
          <w:rFonts w:ascii="Times New Roman" w:eastAsia="Arial" w:hAnsi="Times New Roman" w:cs="Times New Roman"/>
        </w:rPr>
        <w:t>Draw all symmetry elements.</w:t>
      </w:r>
    </w:p>
    <w:p w14:paraId="4E61926F" w14:textId="0926D23A" w:rsidR="005F2A3C" w:rsidRPr="005F2A3C" w:rsidRDefault="005F2A3C" w:rsidP="005F2A3C">
      <w:pPr>
        <w:pStyle w:val="ListParagraph"/>
        <w:widowControl w:val="0"/>
        <w:spacing w:before="240"/>
        <w:ind w:firstLine="360"/>
        <w:rPr>
          <w:rFonts w:ascii="Times New Roman" w:eastAsia="Arial" w:hAnsi="Times New Roman" w:cs="Times New Roman"/>
        </w:rPr>
      </w:pPr>
      <w:r>
        <w:rPr>
          <w:rFonts w:ascii="Times New Roman" w:eastAsia="Arial" w:hAnsi="Times New Roman" w:cs="Times New Roman"/>
        </w:rPr>
        <w:t xml:space="preserve">b.   </w:t>
      </w:r>
      <w:r w:rsidRPr="005F2A3C">
        <w:rPr>
          <w:rFonts w:ascii="Times New Roman" w:eastAsia="Arial" w:hAnsi="Times New Roman" w:cs="Times New Roman"/>
        </w:rPr>
        <w:t>Assign the point group.</w:t>
      </w:r>
    </w:p>
    <w:p w14:paraId="103B96CD" w14:textId="37BC70C9" w:rsidR="005F2A3C" w:rsidRDefault="005F2A3C" w:rsidP="005F2A3C">
      <w:pPr>
        <w:pStyle w:val="ListParagraph"/>
        <w:widowControl w:val="0"/>
        <w:spacing w:before="240"/>
        <w:ind w:firstLine="360"/>
        <w:rPr>
          <w:rFonts w:ascii="Times New Roman" w:eastAsia="Arial" w:hAnsi="Times New Roman" w:cs="Times New Roman"/>
        </w:rPr>
      </w:pPr>
      <w:r>
        <w:rPr>
          <w:rFonts w:ascii="Times New Roman" w:eastAsia="Arial" w:hAnsi="Times New Roman" w:cs="Times New Roman"/>
        </w:rPr>
        <w:t xml:space="preserve">c.   </w:t>
      </w:r>
      <w:r w:rsidRPr="005F2A3C">
        <w:rPr>
          <w:rFonts w:ascii="Times New Roman" w:eastAsia="Arial" w:hAnsi="Times New Roman" w:cs="Times New Roman"/>
        </w:rPr>
        <w:t>Count electrons.</w:t>
      </w:r>
    </w:p>
    <w:p w14:paraId="533F9F44" w14:textId="4ACDE226" w:rsidR="005F2A3C" w:rsidRDefault="005F2A3C" w:rsidP="005F2A3C">
      <w:pPr>
        <w:pStyle w:val="ListParagraph"/>
        <w:widowControl w:val="0"/>
        <w:spacing w:before="240"/>
        <w:ind w:firstLine="360"/>
        <w:rPr>
          <w:rFonts w:ascii="Times New Roman" w:eastAsia="Arial" w:hAnsi="Times New Roman" w:cs="Times New Roman"/>
        </w:rPr>
      </w:pPr>
    </w:p>
    <w:p w14:paraId="16513CC3" w14:textId="2996B0AA" w:rsidR="006B480F" w:rsidRPr="005F2A3C" w:rsidRDefault="005F2A3C" w:rsidP="005F2A3C">
      <w:pPr>
        <w:pStyle w:val="ListParagraph"/>
        <w:widowControl w:val="0"/>
        <w:spacing w:before="240"/>
        <w:ind w:firstLine="360"/>
        <w:rPr>
          <w:rFonts w:ascii="Times New Roman" w:eastAsia="Arial" w:hAnsi="Times New Roman" w:cs="Times New Roman"/>
        </w:rPr>
      </w:pPr>
      <w:r>
        <w:rPr>
          <w:rFonts w:ascii="Arial" w:eastAsia="Arial" w:hAnsi="Arial" w:cs="Arial"/>
          <w:noProof/>
        </w:rPr>
        <w:drawing>
          <wp:inline distT="114300" distB="114300" distL="114300" distR="114300" wp14:anchorId="0D51FF14" wp14:editId="1DB364A8">
            <wp:extent cx="5414963" cy="893816"/>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414963" cy="893816"/>
                    </a:xfrm>
                    <a:prstGeom prst="rect">
                      <a:avLst/>
                    </a:prstGeom>
                    <a:ln/>
                  </pic:spPr>
                </pic:pic>
              </a:graphicData>
            </a:graphic>
          </wp:inline>
        </w:drawing>
      </w:r>
    </w:p>
    <w:p w14:paraId="00000021" w14:textId="0AA556A3" w:rsidR="008F30B1" w:rsidRPr="006B480F" w:rsidRDefault="00AC74DF">
      <w:pPr>
        <w:widowControl w:val="0"/>
        <w:pBdr>
          <w:top w:val="nil"/>
          <w:left w:val="nil"/>
          <w:bottom w:val="nil"/>
          <w:right w:val="nil"/>
          <w:between w:val="nil"/>
        </w:pBdr>
        <w:spacing w:before="240"/>
        <w:ind w:left="360" w:hanging="360"/>
        <w:rPr>
          <w:i/>
          <w:iCs/>
        </w:rPr>
      </w:pPr>
      <w:r w:rsidRPr="006B480F">
        <w:rPr>
          <w:i/>
          <w:iCs/>
        </w:rPr>
        <w:t>Additional Question:</w:t>
      </w:r>
    </w:p>
    <w:p w14:paraId="00000022" w14:textId="6148FC8F" w:rsidR="008F30B1" w:rsidRDefault="00AC74DF" w:rsidP="000E03C7">
      <w:pPr>
        <w:pStyle w:val="ListParagraph"/>
        <w:widowControl w:val="0"/>
        <w:numPr>
          <w:ilvl w:val="0"/>
          <w:numId w:val="8"/>
        </w:numPr>
        <w:pBdr>
          <w:top w:val="nil"/>
          <w:left w:val="nil"/>
          <w:bottom w:val="nil"/>
          <w:right w:val="nil"/>
          <w:between w:val="nil"/>
        </w:pBdr>
        <w:spacing w:before="240"/>
      </w:pPr>
      <w:r>
        <w:t>After reading Resa’s paper, describe in your own words the contributions to the field that warranted this being published.</w:t>
      </w:r>
    </w:p>
    <w:p w14:paraId="5568DF38" w14:textId="7F6DA299" w:rsidR="005F2A3C" w:rsidRDefault="005F2A3C" w:rsidP="000E03C7">
      <w:pPr>
        <w:pStyle w:val="ListParagraph"/>
        <w:widowControl w:val="0"/>
        <w:numPr>
          <w:ilvl w:val="0"/>
          <w:numId w:val="8"/>
        </w:numPr>
        <w:pBdr>
          <w:top w:val="nil"/>
          <w:left w:val="nil"/>
          <w:bottom w:val="nil"/>
          <w:right w:val="nil"/>
          <w:between w:val="nil"/>
        </w:pBdr>
        <w:spacing w:before="240"/>
      </w:pPr>
      <w:bookmarkStart w:id="0" w:name="_GoBack"/>
      <w:bookmarkEnd w:id="0"/>
      <w:r>
        <w:lastRenderedPageBreak/>
        <w:t>What might be the organic by-products of the reaction in figure 1?  What analytical technique would allow one to determine organic by-products?</w:t>
      </w:r>
    </w:p>
    <w:p w14:paraId="480DD31D" w14:textId="77777777" w:rsidR="005F2A3C" w:rsidRDefault="005F2A3C">
      <w:pPr>
        <w:widowControl w:val="0"/>
        <w:pBdr>
          <w:top w:val="nil"/>
          <w:left w:val="nil"/>
          <w:bottom w:val="nil"/>
          <w:right w:val="nil"/>
          <w:between w:val="nil"/>
        </w:pBdr>
        <w:spacing w:before="240"/>
        <w:ind w:left="360" w:hanging="360"/>
      </w:pPr>
    </w:p>
    <w:p w14:paraId="00000023" w14:textId="77777777" w:rsidR="008F30B1" w:rsidRDefault="008F30B1">
      <w:pPr>
        <w:widowControl w:val="0"/>
        <w:pBdr>
          <w:top w:val="nil"/>
          <w:left w:val="nil"/>
          <w:bottom w:val="nil"/>
          <w:right w:val="nil"/>
          <w:between w:val="nil"/>
        </w:pBdr>
        <w:spacing w:before="240"/>
        <w:ind w:left="360" w:hanging="360"/>
      </w:pPr>
    </w:p>
    <w:sectPr w:rsidR="008F30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9DDA1" w14:textId="77777777" w:rsidR="00360918" w:rsidRDefault="00360918">
      <w:r>
        <w:separator/>
      </w:r>
    </w:p>
  </w:endnote>
  <w:endnote w:type="continuationSeparator" w:id="0">
    <w:p w14:paraId="1D09C786" w14:textId="77777777" w:rsidR="00360918" w:rsidRDefault="003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dvPS_TTI">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8F30B1" w:rsidRDefault="008F30B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8F30B1" w:rsidRDefault="008F30B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9" w14:textId="77777777" w:rsidR="008F30B1" w:rsidRDefault="008F30B1">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8040" w14:textId="77777777" w:rsidR="00360918" w:rsidRDefault="00360918">
      <w:r>
        <w:separator/>
      </w:r>
    </w:p>
  </w:footnote>
  <w:footnote w:type="continuationSeparator" w:id="0">
    <w:p w14:paraId="101FDD56" w14:textId="77777777" w:rsidR="00360918" w:rsidRDefault="0036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8F30B1" w:rsidRDefault="008F30B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8F30B1" w:rsidRDefault="008F30B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18191414" w:rsidR="008F30B1" w:rsidRPr="00161C3C" w:rsidRDefault="00AC74DF">
    <w:pPr>
      <w:tabs>
        <w:tab w:val="center" w:pos="540"/>
        <w:tab w:val="left" w:pos="4410"/>
      </w:tabs>
      <w:rPr>
        <w:rFonts w:ascii="Times New Roman" w:eastAsia="Arial" w:hAnsi="Times New Roman" w:cs="Times New Roman"/>
        <w:sz w:val="20"/>
        <w:szCs w:val="20"/>
      </w:rPr>
    </w:pPr>
    <w:r w:rsidRPr="00161C3C">
      <w:rPr>
        <w:rFonts w:ascii="Times New Roman" w:eastAsia="Arial" w:hAnsi="Times New Roman" w:cs="Times New Roman"/>
        <w:sz w:val="20"/>
        <w:szCs w:val="20"/>
      </w:rPr>
      <w:t xml:space="preserve">Created by Brian Anderson, Keene State College, Jeremy Andreatta, Worcester State University, Maria Carroll, Providence College, Chris Durr, Amherst College, Wes Farrell, U.S. Naval Academy, Anthony L. Fernandez, Merrimack College, Nate Hartmann, Boston University, Betsy Jamieson, Smith College, John Miecznikowski, Fairfield University, Chip Nataro, Lafayette College, Colleen Partigianoni, Ferris State University, Joanne Smieja, Gonzaga University, Allie Strom, Smith College, Leon Tilley, Stonehill College, Denyce Wicht, Suffolk University and posted on VIPEr on June 5, 2019.  Based upon an LO originally posted by Margret J. Geselbracht 2008.  Copyright 2019. This work is licensed under the Creative Commons Attribution Non-commercial Share Alike License. To view a copy of this license visit </w:t>
    </w:r>
    <w:hyperlink r:id="rId1">
      <w:r w:rsidRPr="00161C3C">
        <w:rPr>
          <w:rFonts w:ascii="Times New Roman" w:eastAsia="Arial" w:hAnsi="Times New Roman" w:cs="Times New Roman"/>
          <w:color w:val="0000FF"/>
          <w:sz w:val="20"/>
          <w:szCs w:val="20"/>
          <w:u w:val="single"/>
        </w:rPr>
        <w:t>http://creativecommons.org/about/license/</w:t>
      </w:r>
    </w:hyperlink>
    <w:r w:rsidRPr="00161C3C">
      <w:rPr>
        <w:rFonts w:ascii="Times New Roman" w:eastAsia="Arial" w:hAnsi="Times New Roman" w:cs="Times New Roman"/>
        <w:sz w:val="20"/>
        <w:szCs w:val="20"/>
      </w:rPr>
      <w:t>.</w:t>
    </w:r>
  </w:p>
  <w:p w14:paraId="00000028" w14:textId="77777777" w:rsidR="008F30B1" w:rsidRDefault="008F30B1">
    <w:pPr>
      <w:pBdr>
        <w:top w:val="nil"/>
        <w:left w:val="nil"/>
        <w:bottom w:val="nil"/>
        <w:right w:val="nil"/>
        <w:between w:val="nil"/>
      </w:pBdr>
      <w:tabs>
        <w:tab w:val="center" w:pos="540"/>
        <w:tab w:val="left" w:pos="44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048"/>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6C6B64"/>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BA4E56"/>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A542CC"/>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EF32305"/>
    <w:multiLevelType w:val="hybridMultilevel"/>
    <w:tmpl w:val="AC5E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41CFF"/>
    <w:multiLevelType w:val="multilevel"/>
    <w:tmpl w:val="328470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88B392D"/>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E9B61B2"/>
    <w:multiLevelType w:val="multilevel"/>
    <w:tmpl w:val="8516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6"/>
  </w:num>
  <w:num w:numId="3">
    <w:abstractNumId w:val="7"/>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B1"/>
    <w:rsid w:val="00011A0F"/>
    <w:rsid w:val="000E03C7"/>
    <w:rsid w:val="00161C3C"/>
    <w:rsid w:val="00360918"/>
    <w:rsid w:val="005F2A3C"/>
    <w:rsid w:val="006B480F"/>
    <w:rsid w:val="007F47B6"/>
    <w:rsid w:val="00834055"/>
    <w:rsid w:val="008F30B1"/>
    <w:rsid w:val="00AC74DF"/>
    <w:rsid w:val="00BF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77F8"/>
  <w15:docId w15:val="{48C0D1EF-D165-418B-9F02-48AD848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widowControl w:val="0"/>
      <w:outlineLvl w:val="5"/>
    </w:pPr>
    <w:rPr>
      <w:rFonts w:ascii="AdvPS_TTI" w:eastAsia="AdvPS_TTI" w:hAnsi="AdvPS_TTI" w:cs="AdvPS_TT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B480F"/>
    <w:pPr>
      <w:ind w:left="720"/>
      <w:contextualSpacing/>
    </w:pPr>
  </w:style>
  <w:style w:type="character" w:styleId="CommentReference">
    <w:name w:val="annotation reference"/>
    <w:basedOn w:val="DefaultParagraphFont"/>
    <w:uiPriority w:val="99"/>
    <w:semiHidden/>
    <w:unhideWhenUsed/>
    <w:rsid w:val="005F2A3C"/>
    <w:rPr>
      <w:sz w:val="16"/>
      <w:szCs w:val="16"/>
    </w:rPr>
  </w:style>
  <w:style w:type="paragraph" w:styleId="CommentText">
    <w:name w:val="annotation text"/>
    <w:basedOn w:val="Normal"/>
    <w:link w:val="CommentTextChar"/>
    <w:uiPriority w:val="99"/>
    <w:semiHidden/>
    <w:unhideWhenUsed/>
    <w:rsid w:val="005F2A3C"/>
    <w:rPr>
      <w:sz w:val="20"/>
      <w:szCs w:val="20"/>
    </w:rPr>
  </w:style>
  <w:style w:type="character" w:customStyle="1" w:styleId="CommentTextChar">
    <w:name w:val="Comment Text Char"/>
    <w:basedOn w:val="DefaultParagraphFont"/>
    <w:link w:val="CommentText"/>
    <w:uiPriority w:val="99"/>
    <w:semiHidden/>
    <w:rsid w:val="005F2A3C"/>
    <w:rPr>
      <w:sz w:val="20"/>
      <w:szCs w:val="20"/>
    </w:rPr>
  </w:style>
  <w:style w:type="paragraph" w:styleId="BalloonText">
    <w:name w:val="Balloon Text"/>
    <w:basedOn w:val="Normal"/>
    <w:link w:val="BalloonTextChar"/>
    <w:uiPriority w:val="99"/>
    <w:semiHidden/>
    <w:unhideWhenUsed/>
    <w:rsid w:val="000E0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Naval Academy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Wesley CIV USNA Annapolis</dc:creator>
  <cp:lastModifiedBy>Farrell, Wesley CIV USNA Annapolis</cp:lastModifiedBy>
  <cp:revision>2</cp:revision>
  <dcterms:created xsi:type="dcterms:W3CDTF">2019-06-05T20:47:00Z</dcterms:created>
  <dcterms:modified xsi:type="dcterms:W3CDTF">2019-06-05T20:47:00Z</dcterms:modified>
</cp:coreProperties>
</file>