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D1" w:rsidRDefault="001D1ED1" w:rsidP="001D1ED1"/>
    <w:p w:rsidR="00E027F9" w:rsidRDefault="000D0583" w:rsidP="000D0583">
      <w:r>
        <w:t>Jin-</w:t>
      </w:r>
      <w:proofErr w:type="spellStart"/>
      <w:r>
        <w:t>Quan</w:t>
      </w:r>
      <w:proofErr w:type="spellEnd"/>
      <w:r>
        <w:t xml:space="preserve"> Yu’s group at Scripps published (JACS </w:t>
      </w:r>
      <w:r w:rsidR="002C7185">
        <w:rPr>
          <w:b/>
        </w:rPr>
        <w:t>2011</w:t>
      </w:r>
      <w:r w:rsidR="002C7185">
        <w:t xml:space="preserve">, </w:t>
      </w:r>
      <w:r w:rsidR="002C7185">
        <w:rPr>
          <w:i/>
        </w:rPr>
        <w:t>133</w:t>
      </w:r>
      <w:r w:rsidR="002C7185">
        <w:t>, 18183–18193</w:t>
      </w:r>
      <w:r>
        <w:t xml:space="preserve">) a fascinating study of C–H functionalization at </w:t>
      </w:r>
      <w:proofErr w:type="gramStart"/>
      <w:r>
        <w:t>Pd(</w:t>
      </w:r>
      <w:proofErr w:type="gramEnd"/>
      <w:r>
        <w:t xml:space="preserve">II) centers supported by protected amino acids.  Begin by reading the attached paper, </w:t>
      </w:r>
      <w:proofErr w:type="gramStart"/>
      <w:r>
        <w:t>then</w:t>
      </w:r>
      <w:proofErr w:type="gramEnd"/>
      <w:r>
        <w:t xml:space="preserve"> answer the following questions using the information in the paper and appropriate references.</w:t>
      </w:r>
    </w:p>
    <w:p w:rsidR="00B7222D" w:rsidRDefault="00B7222D" w:rsidP="001D1ED1"/>
    <w:p w:rsidR="001C5048" w:rsidRDefault="000D0583" w:rsidP="001C5048">
      <w:pPr>
        <w:pStyle w:val="ListParagraph"/>
        <w:numPr>
          <w:ilvl w:val="0"/>
          <w:numId w:val="1"/>
        </w:numPr>
      </w:pPr>
      <w:r>
        <w:t xml:space="preserve">A generic reaction like the ones reported in the paper is drawn below.  What is the role of each reagent </w:t>
      </w:r>
      <w:r w:rsidR="00610721">
        <w:t>listed below</w:t>
      </w:r>
      <w:r>
        <w:t>?</w:t>
      </w:r>
    </w:p>
    <w:p w:rsidR="000D0583" w:rsidRDefault="000D0583" w:rsidP="000D0583">
      <w:pPr>
        <w:jc w:val="center"/>
      </w:pPr>
      <w:r>
        <w:object w:dxaOrig="11239" w:dyaOrig="1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59.25pt" o:ole="">
            <v:imagedata r:id="rId7" o:title=""/>
          </v:shape>
          <o:OLEObject Type="Embed" ProgID="ChemDraw.Document.6.0" ShapeID="_x0000_i1025" DrawAspect="Content" ObjectID="_1404060704" r:id="rId8"/>
        </w:object>
      </w:r>
    </w:p>
    <w:p w:rsidR="00AB4865" w:rsidRDefault="00AB4865" w:rsidP="00AB4865">
      <w:pPr>
        <w:spacing w:after="0" w:line="240" w:lineRule="auto"/>
        <w:ind w:left="3600" w:hanging="2880"/>
        <w:rPr>
          <w:i/>
          <w:u w:val="single"/>
        </w:rPr>
      </w:pPr>
    </w:p>
    <w:p w:rsidR="000D0583" w:rsidRPr="00B33016" w:rsidRDefault="00610721" w:rsidP="00610721">
      <w:pPr>
        <w:ind w:left="3600" w:hanging="2880"/>
      </w:pPr>
      <w:r w:rsidRPr="00610721">
        <w:rPr>
          <w:i/>
          <w:u w:val="single"/>
        </w:rPr>
        <w:t>Reagents in question:</w:t>
      </w:r>
      <w:r>
        <w:tab/>
      </w:r>
      <w:proofErr w:type="gramStart"/>
      <w:r w:rsidR="000D0583">
        <w:t>Pd(</w:t>
      </w:r>
      <w:proofErr w:type="spellStart"/>
      <w:proofErr w:type="gramEnd"/>
      <w:r w:rsidR="000D0583">
        <w:t>OAc</w:t>
      </w:r>
      <w:proofErr w:type="spellEnd"/>
      <w:r w:rsidR="000D0583">
        <w:t>)</w:t>
      </w:r>
      <w:r w:rsidR="000D0583">
        <w:rPr>
          <w:vertAlign w:val="subscript"/>
        </w:rPr>
        <w:t>2</w:t>
      </w:r>
      <w:r w:rsidR="000D0583">
        <w:t xml:space="preserve"> </w:t>
      </w:r>
      <w:r>
        <w:t>(catalytic)</w:t>
      </w:r>
      <w:r w:rsidR="000D0583">
        <w:br/>
        <w:t>Ac-Ile-OH (catalytic)</w:t>
      </w:r>
      <w:r w:rsidR="000D0583">
        <w:br/>
        <w:t>BQ (catalytic)</w:t>
      </w:r>
      <w:r w:rsidR="000D0583">
        <w:br/>
        <w:t>Ag</w:t>
      </w:r>
      <w:r w:rsidR="000D0583">
        <w:rPr>
          <w:vertAlign w:val="subscript"/>
        </w:rPr>
        <w:t>2</w:t>
      </w:r>
      <w:r w:rsidR="000D0583">
        <w:t>CO</w:t>
      </w:r>
      <w:r w:rsidR="000D0583">
        <w:rPr>
          <w:vertAlign w:val="subscript"/>
        </w:rPr>
        <w:t>3</w:t>
      </w:r>
      <w:r w:rsidR="000D0583">
        <w:t xml:space="preserve"> (</w:t>
      </w:r>
      <w:proofErr w:type="spellStart"/>
      <w:r w:rsidR="000D0583">
        <w:t>stoichi</w:t>
      </w:r>
      <w:r>
        <w:t>ometric</w:t>
      </w:r>
      <w:proofErr w:type="spellEnd"/>
      <w:r>
        <w:t>)</w:t>
      </w:r>
      <w:r w:rsidR="00B33016">
        <w:br/>
        <w:t>Ph–BF</w:t>
      </w:r>
      <w:r w:rsidR="00B33016">
        <w:rPr>
          <w:vertAlign w:val="subscript"/>
        </w:rPr>
        <w:t>3</w:t>
      </w:r>
      <w:r w:rsidR="00B33016">
        <w:t>K (</w:t>
      </w:r>
      <w:proofErr w:type="spellStart"/>
      <w:r w:rsidR="00B33016">
        <w:t>stoichiometric</w:t>
      </w:r>
      <w:proofErr w:type="spellEnd"/>
      <w:r w:rsidR="00B33016">
        <w:t>)</w:t>
      </w:r>
      <w:r w:rsidR="000D0583">
        <w:br/>
        <w:t>KHCO</w:t>
      </w:r>
      <w:r w:rsidR="000D0583">
        <w:rPr>
          <w:vertAlign w:val="subscript"/>
        </w:rPr>
        <w:t>3</w:t>
      </w:r>
      <w:r>
        <w:t xml:space="preserve"> (</w:t>
      </w:r>
      <w:proofErr w:type="spellStart"/>
      <w:r>
        <w:t>superstoichiometric</w:t>
      </w:r>
      <w:proofErr w:type="spellEnd"/>
      <w:r>
        <w:t>)</w:t>
      </w:r>
      <w:r w:rsidR="00B33016">
        <w:br/>
      </w:r>
    </w:p>
    <w:p w:rsidR="003D0CBB" w:rsidRDefault="00B33016" w:rsidP="00CB10A1">
      <w:pPr>
        <w:pStyle w:val="ListParagraph"/>
        <w:numPr>
          <w:ilvl w:val="0"/>
          <w:numId w:val="1"/>
        </w:numPr>
      </w:pPr>
      <w:r>
        <w:t>Most cross-coupling reactions that form C–C bonds do not require oxidant.  Why is an oxidant required here?</w:t>
      </w:r>
    </w:p>
    <w:p w:rsidR="003D0CBB" w:rsidRDefault="003D0CBB" w:rsidP="003D0CBB">
      <w:pPr>
        <w:pStyle w:val="ListParagraph"/>
      </w:pPr>
    </w:p>
    <w:p w:rsidR="00CB10A1" w:rsidRDefault="00B33016" w:rsidP="003D0CBB">
      <w:pPr>
        <w:pStyle w:val="ListParagraph"/>
        <w:numPr>
          <w:ilvl w:val="0"/>
          <w:numId w:val="1"/>
        </w:numPr>
      </w:pPr>
      <w:r>
        <w:t xml:space="preserve">All of the substrates examined have a </w:t>
      </w:r>
      <w:proofErr w:type="spellStart"/>
      <w:r>
        <w:t>phenylacetic</w:t>
      </w:r>
      <w:proofErr w:type="spellEnd"/>
      <w:r>
        <w:t xml:space="preserve"> acid group.  What is the role of the carboxylic acid (if any) in the reported transformation?</w:t>
      </w:r>
      <w:r>
        <w:br/>
      </w:r>
    </w:p>
    <w:p w:rsidR="008259A6" w:rsidRDefault="00B33016" w:rsidP="00C9289A">
      <w:pPr>
        <w:pStyle w:val="ListParagraph"/>
        <w:numPr>
          <w:ilvl w:val="0"/>
          <w:numId w:val="1"/>
        </w:numPr>
      </w:pPr>
      <w:proofErr w:type="spellStart"/>
      <w:r>
        <w:t>Phosphines</w:t>
      </w:r>
      <w:proofErr w:type="spellEnd"/>
      <w:r>
        <w:t xml:space="preserve"> have been extensively developed as ligands for traditional cross-coupling reactions, but they have not found use in oxidative cross couplings.  Why are </w:t>
      </w:r>
      <w:proofErr w:type="spellStart"/>
      <w:r>
        <w:t>phosphines</w:t>
      </w:r>
      <w:proofErr w:type="spellEnd"/>
      <w:r>
        <w:t xml:space="preserve"> not useful in reactions like the one reported here?</w:t>
      </w:r>
    </w:p>
    <w:p w:rsidR="00B33016" w:rsidRDefault="00B33016" w:rsidP="00B33016">
      <w:pPr>
        <w:pStyle w:val="ListParagraph"/>
      </w:pPr>
    </w:p>
    <w:p w:rsidR="00B33016" w:rsidRDefault="00AB4865" w:rsidP="00C9289A">
      <w:pPr>
        <w:pStyle w:val="ListParagraph"/>
        <w:numPr>
          <w:ilvl w:val="0"/>
          <w:numId w:val="1"/>
        </w:numPr>
      </w:pPr>
      <w:r>
        <w:t xml:space="preserve">What are the structures of Ac-Ile-OH and </w:t>
      </w:r>
      <w:proofErr w:type="spellStart"/>
      <w:r>
        <w:t>Boc</w:t>
      </w:r>
      <w:proofErr w:type="spellEnd"/>
      <w:r>
        <w:t xml:space="preserve">-Val-OH (the two </w:t>
      </w:r>
      <w:proofErr w:type="spellStart"/>
      <w:r>
        <w:t>ligand</w:t>
      </w:r>
      <w:proofErr w:type="spellEnd"/>
      <w:r>
        <w:t xml:space="preserve"> precursors used here)?  Draw structures of each of these ligands bonded in the </w:t>
      </w:r>
      <w:proofErr w:type="gramStart"/>
      <w:r>
        <w:t>expected  manner</w:t>
      </w:r>
      <w:proofErr w:type="gramEnd"/>
      <w:r>
        <w:t xml:space="preserve"> to Pd(II).</w:t>
      </w:r>
    </w:p>
    <w:p w:rsidR="00AB4865" w:rsidRDefault="00AB4865" w:rsidP="00AB4865">
      <w:pPr>
        <w:pStyle w:val="ListParagraph"/>
      </w:pPr>
    </w:p>
    <w:p w:rsidR="00AB4865" w:rsidRDefault="00AB4865" w:rsidP="00C9289A">
      <w:pPr>
        <w:pStyle w:val="ListParagraph"/>
        <w:numPr>
          <w:ilvl w:val="0"/>
          <w:numId w:val="1"/>
        </w:numPr>
      </w:pPr>
      <w:r>
        <w:t xml:space="preserve">The authors note that isoleucine derivatives with </w:t>
      </w:r>
      <w:proofErr w:type="gramStart"/>
      <w:r>
        <w:t>Me</w:t>
      </w:r>
      <w:proofErr w:type="gramEnd"/>
      <w:r>
        <w:t xml:space="preserve"> or H attached at nitrogen shut down the reaction; why is an electron-withdrawing protecting group required?</w:t>
      </w:r>
    </w:p>
    <w:p w:rsidR="00AB4865" w:rsidRDefault="00AB4865" w:rsidP="00AB4865">
      <w:pPr>
        <w:pStyle w:val="ListParagraph"/>
      </w:pPr>
    </w:p>
    <w:p w:rsidR="00AB4865" w:rsidRDefault="00AB4865" w:rsidP="00C9289A">
      <w:pPr>
        <w:pStyle w:val="ListParagraph"/>
        <w:numPr>
          <w:ilvl w:val="0"/>
          <w:numId w:val="1"/>
        </w:numPr>
      </w:pPr>
      <w:r>
        <w:lastRenderedPageBreak/>
        <w:t xml:space="preserve">What is the role of silver carbonate in this reaction?  Why </w:t>
      </w:r>
      <w:r w:rsidR="00075A42">
        <w:t xml:space="preserve">is </w:t>
      </w:r>
      <w:proofErr w:type="gramStart"/>
      <w:r w:rsidR="00075A42">
        <w:t>Ag(</w:t>
      </w:r>
      <w:proofErr w:type="gramEnd"/>
      <w:r w:rsidR="00075A42">
        <w:t xml:space="preserve">I) better at facilitating catalytic turnover than oxygen?  Think about the possible interactions of </w:t>
      </w:r>
      <w:proofErr w:type="gramStart"/>
      <w:r w:rsidR="00075A42">
        <w:t>Ag(</w:t>
      </w:r>
      <w:proofErr w:type="gramEnd"/>
      <w:r w:rsidR="00075A42">
        <w:t>I) with Pd(II) [it may help to check out reference 25].</w:t>
      </w:r>
    </w:p>
    <w:p w:rsidR="00075A42" w:rsidRDefault="00075A42" w:rsidP="00075A42">
      <w:pPr>
        <w:pStyle w:val="ListParagraph"/>
      </w:pPr>
    </w:p>
    <w:p w:rsidR="00075A42" w:rsidRDefault="00075A42" w:rsidP="00075A42">
      <w:pPr>
        <w:pStyle w:val="ListParagraph"/>
        <w:numPr>
          <w:ilvl w:val="0"/>
          <w:numId w:val="1"/>
        </w:numPr>
        <w:spacing w:before="240"/>
      </w:pPr>
      <w:r>
        <w:t>The authors claim that Ph–</w:t>
      </w:r>
      <w:proofErr w:type="gramStart"/>
      <w:r>
        <w:t>BF</w:t>
      </w:r>
      <w:r>
        <w:rPr>
          <w:vertAlign w:val="subscript"/>
        </w:rPr>
        <w:t>3</w:t>
      </w:r>
      <w:r>
        <w:t>K  must</w:t>
      </w:r>
      <w:proofErr w:type="gramEnd"/>
      <w:r>
        <w:t xml:space="preserve"> be transformed into an active </w:t>
      </w:r>
      <w:proofErr w:type="spellStart"/>
      <w:r>
        <w:t>boronic</w:t>
      </w:r>
      <w:proofErr w:type="spellEnd"/>
      <w:r>
        <w:t xml:space="preserve"> acid or </w:t>
      </w:r>
      <w:proofErr w:type="spellStart"/>
      <w:r>
        <w:t>boronate</w:t>
      </w:r>
      <w:proofErr w:type="spellEnd"/>
      <w:r>
        <w:t xml:space="preserve"> ester prior to Ph</w:t>
      </w:r>
      <w:r w:rsidRPr="00075A42">
        <w:rPr>
          <w:vertAlign w:val="superscript"/>
        </w:rPr>
        <w:t>−</w:t>
      </w:r>
      <w:r>
        <w:t xml:space="preserve"> transfer to palladium.  Ph–BF</w:t>
      </w:r>
      <w:r>
        <w:rPr>
          <w:vertAlign w:val="subscript"/>
        </w:rPr>
        <w:t>3</w:t>
      </w:r>
      <w:r w:rsidRPr="00075A42">
        <w:rPr>
          <w:vertAlign w:val="superscript"/>
        </w:rPr>
        <w:t>−</w:t>
      </w:r>
      <w:r>
        <w:t xml:space="preserve"> is already anionic, so why must it be activated prior to Ph</w:t>
      </w:r>
      <w:r w:rsidRPr="00075A42">
        <w:rPr>
          <w:vertAlign w:val="superscript"/>
        </w:rPr>
        <w:t>−</w:t>
      </w:r>
      <w:r>
        <w:t xml:space="preserve"> </w:t>
      </w:r>
      <w:proofErr w:type="spellStart"/>
      <w:r>
        <w:t>transmetallation</w:t>
      </w:r>
      <w:proofErr w:type="spellEnd"/>
      <w:r>
        <w:t>?  Think about the relative electronics of Ph–BF</w:t>
      </w:r>
      <w:r>
        <w:rPr>
          <w:vertAlign w:val="subscript"/>
        </w:rPr>
        <w:t>3</w:t>
      </w:r>
      <w:r w:rsidRPr="00075A42">
        <w:rPr>
          <w:vertAlign w:val="superscript"/>
        </w:rPr>
        <w:t>−</w:t>
      </w:r>
      <w:r>
        <w:t xml:space="preserve"> and Ph–</w:t>
      </w:r>
      <w:proofErr w:type="gramStart"/>
      <w:r>
        <w:t>B(</w:t>
      </w:r>
      <w:proofErr w:type="gramEnd"/>
      <w:r>
        <w:t>OH)</w:t>
      </w:r>
      <w:r>
        <w:rPr>
          <w:vertAlign w:val="subscript"/>
        </w:rPr>
        <w:t>3</w:t>
      </w:r>
      <w:r w:rsidRPr="00075A42">
        <w:rPr>
          <w:vertAlign w:val="superscript"/>
        </w:rPr>
        <w:t>−</w:t>
      </w:r>
      <w:r>
        <w:t>.</w:t>
      </w:r>
    </w:p>
    <w:p w:rsidR="00075A42" w:rsidRDefault="00075A42" w:rsidP="00075A42">
      <w:pPr>
        <w:pStyle w:val="ListParagraph"/>
      </w:pPr>
    </w:p>
    <w:p w:rsidR="00075A42" w:rsidRDefault="00075A42" w:rsidP="00075A42">
      <w:pPr>
        <w:pStyle w:val="ListParagraph"/>
        <w:numPr>
          <w:ilvl w:val="0"/>
          <w:numId w:val="1"/>
        </w:numPr>
        <w:spacing w:before="240"/>
      </w:pPr>
      <w:r>
        <w:t>It was found that optimal yields were obtained for the reported reactions when 2 equiv of Ag</w:t>
      </w:r>
      <w:r w:rsidRPr="00075A42"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and 3 equiv of </w:t>
      </w:r>
      <w:proofErr w:type="spellStart"/>
      <w:r>
        <w:t>arylboron</w:t>
      </w:r>
      <w:proofErr w:type="spellEnd"/>
      <w:r>
        <w:t xml:space="preserve"> reagent were used.  Why is an excess of these reagents required in order to consume all of the starting </w:t>
      </w:r>
      <w:proofErr w:type="spellStart"/>
      <w:r>
        <w:t>phenylacetic</w:t>
      </w:r>
      <w:proofErr w:type="spellEnd"/>
      <w:r>
        <w:t xml:space="preserve"> acid?</w:t>
      </w:r>
    </w:p>
    <w:p w:rsidR="00075A42" w:rsidRDefault="00075A42" w:rsidP="00075A42">
      <w:pPr>
        <w:pStyle w:val="ListParagraph"/>
      </w:pPr>
    </w:p>
    <w:p w:rsidR="00075A42" w:rsidRDefault="00075A42" w:rsidP="00075A42">
      <w:pPr>
        <w:pStyle w:val="ListParagraph"/>
        <w:numPr>
          <w:ilvl w:val="0"/>
          <w:numId w:val="1"/>
        </w:numPr>
        <w:spacing w:before="240"/>
      </w:pPr>
      <w:r>
        <w:t xml:space="preserve">The data presented in Table 9 are particularly noteworthy in terms of the authors’ interpretation about mechanism of C–H activation in the amino-acid-supported systems versus the systems with no added ligand.  How do the results from Table 9 support a change in mechanism of C–H activation upon addition of ligand?  How do this authors </w:t>
      </w:r>
      <w:proofErr w:type="spellStart"/>
      <w:r>
        <w:t>interprate</w:t>
      </w:r>
      <w:proofErr w:type="spellEnd"/>
      <w:r>
        <w:t xml:space="preserve"> this finding (i.e., what mechanism do they propose is active in the systems examined for this paper)?</w:t>
      </w:r>
      <w:bookmarkStart w:id="0" w:name="_GoBack"/>
      <w:bookmarkEnd w:id="0"/>
    </w:p>
    <w:sectPr w:rsidR="00075A42" w:rsidSect="00E240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60" w:rsidRDefault="00382460" w:rsidP="001C6E87">
      <w:r>
        <w:separator/>
      </w:r>
    </w:p>
  </w:endnote>
  <w:endnote w:type="continuationSeparator" w:id="0">
    <w:p w:rsidR="00382460" w:rsidRDefault="00382460" w:rsidP="001C6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60" w:rsidRDefault="00382460" w:rsidP="001C6E87">
      <w:r>
        <w:separator/>
      </w:r>
    </w:p>
  </w:footnote>
  <w:footnote w:type="continuationSeparator" w:id="0">
    <w:p w:rsidR="00382460" w:rsidRDefault="00382460" w:rsidP="001C6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E87" w:rsidRDefault="002C7185" w:rsidP="001C6E87">
    <w:pPr>
      <w:pStyle w:val="Header"/>
      <w:rPr>
        <w:sz w:val="20"/>
      </w:rPr>
    </w:pPr>
    <w:r w:rsidRPr="002C7185">
      <w:rPr>
        <w:sz w:val="20"/>
      </w:rPr>
      <w:t xml:space="preserve">Created by </w:t>
    </w:r>
    <w:r>
      <w:rPr>
        <w:sz w:val="20"/>
      </w:rPr>
      <w:t>Matthew T. Whited, Carleton College, mwhited@carleton.edu</w:t>
    </w:r>
    <w:r w:rsidRPr="002C7185">
      <w:rPr>
        <w:sz w:val="20"/>
      </w:rPr>
      <w:t xml:space="preserve"> and posted on </w:t>
    </w:r>
    <w:proofErr w:type="spellStart"/>
    <w:r w:rsidRPr="002C7185">
      <w:rPr>
        <w:sz w:val="20"/>
      </w:rPr>
      <w:t>VIPEr</w:t>
    </w:r>
    <w:proofErr w:type="spellEnd"/>
    <w:r w:rsidRPr="002C7185">
      <w:rPr>
        <w:sz w:val="20"/>
      </w:rPr>
      <w:t xml:space="preserve"> on </w:t>
    </w:r>
    <w:r>
      <w:rPr>
        <w:sz w:val="20"/>
      </w:rPr>
      <w:t>July 17, 2012</w:t>
    </w:r>
    <w:r w:rsidRPr="002C7185">
      <w:rPr>
        <w:sz w:val="20"/>
      </w:rPr>
      <w:t xml:space="preserve">, Copyright </w:t>
    </w:r>
    <w:r>
      <w:rPr>
        <w:sz w:val="20"/>
      </w:rPr>
      <w:t>Matthew T. Whited, 2012</w:t>
    </w:r>
    <w:r w:rsidRPr="002C7185">
      <w:rPr>
        <w:sz w:val="20"/>
      </w:rPr>
      <w:t>. This work is licensed under the Creative Commons Attribution-</w:t>
    </w:r>
    <w:proofErr w:type="spellStart"/>
    <w:r w:rsidRPr="002C7185">
      <w:rPr>
        <w:sz w:val="20"/>
      </w:rPr>
      <w:t>NonCommercial</w:t>
    </w:r>
    <w:proofErr w:type="spellEnd"/>
    <w:r w:rsidRPr="002C7185">
      <w:rPr>
        <w:sz w:val="20"/>
      </w:rPr>
      <w:t>-</w:t>
    </w:r>
    <w:proofErr w:type="spellStart"/>
    <w:r w:rsidRPr="002C7185">
      <w:rPr>
        <w:sz w:val="20"/>
      </w:rPr>
      <w:t>ShareAlike</w:t>
    </w:r>
    <w:proofErr w:type="spellEnd"/>
    <w:r w:rsidRPr="002C7185">
      <w:rPr>
        <w:sz w:val="20"/>
      </w:rPr>
      <w:t xml:space="preserve"> License. To view a copy of this license visit </w:t>
    </w:r>
    <w:hyperlink r:id="rId1" w:history="1">
      <w:r w:rsidR="00156993" w:rsidRPr="000D2A61">
        <w:rPr>
          <w:rStyle w:val="Hyperlink"/>
          <w:sz w:val="20"/>
        </w:rPr>
        <w:t>http://creativecommons.org/about/license/</w:t>
      </w:r>
    </w:hyperlink>
  </w:p>
  <w:p w:rsidR="00156993" w:rsidRPr="002C7185" w:rsidRDefault="00156993" w:rsidP="001C6E87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AFD"/>
    <w:multiLevelType w:val="hybridMultilevel"/>
    <w:tmpl w:val="F30A6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6E87"/>
    <w:rsid w:val="00075A42"/>
    <w:rsid w:val="000C3F01"/>
    <w:rsid w:val="000D0583"/>
    <w:rsid w:val="00156993"/>
    <w:rsid w:val="0015778A"/>
    <w:rsid w:val="001857B0"/>
    <w:rsid w:val="00196D43"/>
    <w:rsid w:val="001C5048"/>
    <w:rsid w:val="001C6E87"/>
    <w:rsid w:val="001D1ED1"/>
    <w:rsid w:val="002127B6"/>
    <w:rsid w:val="00273A86"/>
    <w:rsid w:val="002C7185"/>
    <w:rsid w:val="002E5319"/>
    <w:rsid w:val="003345DC"/>
    <w:rsid w:val="003460BF"/>
    <w:rsid w:val="00355795"/>
    <w:rsid w:val="00382460"/>
    <w:rsid w:val="003A07F0"/>
    <w:rsid w:val="003D0CBB"/>
    <w:rsid w:val="003F1683"/>
    <w:rsid w:val="00411D68"/>
    <w:rsid w:val="0041710B"/>
    <w:rsid w:val="00417F1C"/>
    <w:rsid w:val="004443A9"/>
    <w:rsid w:val="00496DB1"/>
    <w:rsid w:val="004B5985"/>
    <w:rsid w:val="00506BD7"/>
    <w:rsid w:val="00562271"/>
    <w:rsid w:val="005B0AFA"/>
    <w:rsid w:val="005B5602"/>
    <w:rsid w:val="00610721"/>
    <w:rsid w:val="006338A1"/>
    <w:rsid w:val="0064316A"/>
    <w:rsid w:val="0066609A"/>
    <w:rsid w:val="006A3445"/>
    <w:rsid w:val="006B1A8C"/>
    <w:rsid w:val="006E32E8"/>
    <w:rsid w:val="007A38F9"/>
    <w:rsid w:val="008259A6"/>
    <w:rsid w:val="00885887"/>
    <w:rsid w:val="008D5BBC"/>
    <w:rsid w:val="00965A92"/>
    <w:rsid w:val="00A34798"/>
    <w:rsid w:val="00A80745"/>
    <w:rsid w:val="00A94EF4"/>
    <w:rsid w:val="00AA3BA3"/>
    <w:rsid w:val="00AB4865"/>
    <w:rsid w:val="00B33016"/>
    <w:rsid w:val="00B66E0F"/>
    <w:rsid w:val="00B7222D"/>
    <w:rsid w:val="00B84ED6"/>
    <w:rsid w:val="00BA17FE"/>
    <w:rsid w:val="00BB6EA8"/>
    <w:rsid w:val="00BD18DC"/>
    <w:rsid w:val="00BE580B"/>
    <w:rsid w:val="00C9289A"/>
    <w:rsid w:val="00C95205"/>
    <w:rsid w:val="00CB10A1"/>
    <w:rsid w:val="00CC3149"/>
    <w:rsid w:val="00D16391"/>
    <w:rsid w:val="00D3068C"/>
    <w:rsid w:val="00D62B03"/>
    <w:rsid w:val="00D861D7"/>
    <w:rsid w:val="00DC1EB2"/>
    <w:rsid w:val="00DD43AE"/>
    <w:rsid w:val="00DD4770"/>
    <w:rsid w:val="00DF2285"/>
    <w:rsid w:val="00E027F9"/>
    <w:rsid w:val="00E04648"/>
    <w:rsid w:val="00E240CA"/>
    <w:rsid w:val="00E24C69"/>
    <w:rsid w:val="00EC0505"/>
    <w:rsid w:val="00EC660E"/>
    <w:rsid w:val="00F7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87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87"/>
  </w:style>
  <w:style w:type="paragraph" w:styleId="Footer">
    <w:name w:val="footer"/>
    <w:basedOn w:val="Normal"/>
    <w:link w:val="Foot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87"/>
  </w:style>
  <w:style w:type="paragraph" w:styleId="BalloonText">
    <w:name w:val="Balloon Text"/>
    <w:basedOn w:val="Normal"/>
    <w:link w:val="BalloonTextChar"/>
    <w:uiPriority w:val="99"/>
    <w:semiHidden/>
    <w:unhideWhenUsed/>
    <w:rsid w:val="001C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8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3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6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87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87"/>
  </w:style>
  <w:style w:type="paragraph" w:styleId="Footer">
    <w:name w:val="footer"/>
    <w:basedOn w:val="Normal"/>
    <w:link w:val="Foot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87"/>
  </w:style>
  <w:style w:type="paragraph" w:styleId="BalloonText">
    <w:name w:val="Balloon Text"/>
    <w:basedOn w:val="Normal"/>
    <w:link w:val="BalloonTextChar"/>
    <w:uiPriority w:val="99"/>
    <w:semiHidden/>
    <w:unhideWhenUsed/>
    <w:rsid w:val="001C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8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3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College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Whited</dc:creator>
  <cp:lastModifiedBy>Matt Whited</cp:lastModifiedBy>
  <cp:revision>3</cp:revision>
  <cp:lastPrinted>2011-09-15T16:29:00Z</cp:lastPrinted>
  <dcterms:created xsi:type="dcterms:W3CDTF">2012-07-17T23:44:00Z</dcterms:created>
  <dcterms:modified xsi:type="dcterms:W3CDTF">2012-07-18T00:05:00Z</dcterms:modified>
</cp:coreProperties>
</file>