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0C" w:rsidRPr="00DD096B" w:rsidRDefault="00DD096B" w:rsidP="00DD096B">
      <w:pPr>
        <w:pBdr>
          <w:top w:val="single" w:sz="18" w:space="4" w:color="auto" w:shadow="1"/>
          <w:left w:val="single" w:sz="18" w:space="4" w:color="auto" w:shadow="1"/>
          <w:bottom w:val="single" w:sz="18" w:space="4" w:color="auto" w:shadow="1"/>
          <w:right w:val="single" w:sz="18" w:space="4" w:color="auto" w:shadow="1"/>
        </w:pBdr>
        <w:rPr>
          <w:rFonts w:ascii="Arial" w:hAnsi="Arial" w:cs="Arial"/>
          <w:b/>
          <w:color w:val="0000FF"/>
          <w:sz w:val="36"/>
          <w:szCs w:val="36"/>
        </w:rPr>
      </w:pPr>
      <w:r>
        <w:rPr>
          <w:rFonts w:ascii="Arial" w:hAnsi="Arial" w:cs="Arial"/>
          <w:b/>
          <w:color w:val="0000FF"/>
          <w:sz w:val="36"/>
          <w:szCs w:val="36"/>
        </w:rPr>
        <w:t xml:space="preserve">  </w:t>
      </w:r>
      <w:r w:rsidR="00C824BF">
        <w:rPr>
          <w:rFonts w:ascii="Arial" w:hAnsi="Arial" w:cs="Arial"/>
          <w:b/>
          <w:color w:val="0000FF"/>
          <w:sz w:val="36"/>
          <w:szCs w:val="36"/>
        </w:rPr>
        <w:t xml:space="preserve">Monsanto </w:t>
      </w:r>
      <w:r w:rsidR="00F82ADC">
        <w:rPr>
          <w:rFonts w:ascii="Arial" w:hAnsi="Arial" w:cs="Arial"/>
          <w:b/>
          <w:color w:val="0000FF"/>
          <w:sz w:val="36"/>
          <w:szCs w:val="36"/>
        </w:rPr>
        <w:t xml:space="preserve">(BP) </w:t>
      </w:r>
      <w:r w:rsidR="00C824BF">
        <w:rPr>
          <w:rFonts w:ascii="Arial" w:hAnsi="Arial" w:cs="Arial"/>
          <w:b/>
          <w:color w:val="0000FF"/>
          <w:sz w:val="36"/>
          <w:szCs w:val="36"/>
        </w:rPr>
        <w:t>Acetic Acid &amp; Related Processes</w:t>
      </w:r>
    </w:p>
    <w:p w:rsidR="00863E24" w:rsidRDefault="00863E24" w:rsidP="00863E24">
      <w:pPr>
        <w:pStyle w:val="BodyText"/>
        <w:rPr>
          <w:b w:val="0"/>
          <w:sz w:val="18"/>
        </w:rPr>
      </w:pPr>
      <w:r w:rsidRPr="00D26DD2">
        <w:rPr>
          <w:b w:val="0"/>
          <w:sz w:val="18"/>
        </w:rPr>
        <w:t xml:space="preserve">Created by George G. Stanley, Department of Chemistry, Louisiana State University (gstanley@lsu.edu) and posted on VIPEr on </w:t>
      </w:r>
      <w:r>
        <w:rPr>
          <w:b w:val="0"/>
          <w:sz w:val="18"/>
        </w:rPr>
        <w:t>August 14, 2017</w:t>
      </w:r>
      <w:r w:rsidRPr="00D26DD2">
        <w:rPr>
          <w:b w:val="0"/>
          <w:sz w:val="18"/>
        </w:rPr>
        <w:t>. C</w:t>
      </w:r>
      <w:r>
        <w:rPr>
          <w:b w:val="0"/>
          <w:sz w:val="18"/>
        </w:rPr>
        <w:t>opyright Geroge G. Stanley, 2017</w:t>
      </w:r>
      <w:r w:rsidRPr="00D26DD2">
        <w:rPr>
          <w:b w:val="0"/>
          <w:sz w:val="18"/>
        </w:rPr>
        <w:t>. This work is licensed under the Creative Commons Attribution-NonCommercial-ShareAlike CC BY-NC-SA. To view a copy of this license visit {http://creativecommons.org/licenses/by-nc-sa/4.0/}.</w:t>
      </w:r>
    </w:p>
    <w:p w:rsidR="00DD096B" w:rsidRDefault="00DD096B">
      <w:pPr>
        <w:rPr>
          <w:sz w:val="36"/>
          <w:szCs w:val="36"/>
        </w:rPr>
      </w:pPr>
      <w:bookmarkStart w:id="0" w:name="_GoBack"/>
      <w:bookmarkEnd w:id="0"/>
    </w:p>
    <w:p w:rsidR="00C747CF" w:rsidRDefault="00C824BF" w:rsidP="00F82ADC">
      <w:pPr>
        <w:autoSpaceDE w:val="0"/>
        <w:autoSpaceDN w:val="0"/>
        <w:adjustRightInd w:val="0"/>
        <w:spacing w:after="120"/>
        <w:rPr>
          <w:sz w:val="36"/>
          <w:szCs w:val="36"/>
        </w:rPr>
      </w:pPr>
      <w:r>
        <w:rPr>
          <w:sz w:val="36"/>
          <w:szCs w:val="36"/>
        </w:rPr>
        <w:t>The carbonylation of methanol produces acetic acid:</w:t>
      </w:r>
    </w:p>
    <w:p w:rsidR="00C824BF" w:rsidRDefault="00F2090D" w:rsidP="00F82ADC">
      <w:pPr>
        <w:autoSpaceDE w:val="0"/>
        <w:autoSpaceDN w:val="0"/>
        <w:adjustRightInd w:val="0"/>
        <w:spacing w:after="120"/>
        <w:jc w:val="center"/>
        <w:rPr>
          <w:sz w:val="36"/>
          <w:szCs w:val="36"/>
        </w:rPr>
      </w:pPr>
      <w:r>
        <w:object w:dxaOrig="5461" w:dyaOrig="1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63.75pt" o:ole="">
            <v:imagedata r:id="rId6" o:title=""/>
          </v:shape>
          <o:OLEObject Type="Embed" ProgID="ChemDraw.Document.6.0" ShapeID="_x0000_i1025" DrawAspect="Content" ObjectID="_1564226317" r:id="rId7"/>
        </w:object>
      </w:r>
    </w:p>
    <w:p w:rsidR="002A26C4" w:rsidRDefault="002A26C4" w:rsidP="00F82ADC">
      <w:pPr>
        <w:autoSpaceDE w:val="0"/>
        <w:autoSpaceDN w:val="0"/>
        <w:adjustRightInd w:val="0"/>
        <w:spacing w:after="120"/>
        <w:rPr>
          <w:sz w:val="36"/>
          <w:szCs w:val="36"/>
        </w:rPr>
      </w:pPr>
      <w:r>
        <w:rPr>
          <w:sz w:val="36"/>
          <w:szCs w:val="36"/>
        </w:rPr>
        <w:t xml:space="preserve">This is the </w:t>
      </w:r>
      <w:r w:rsidRPr="002A26C4">
        <w:rPr>
          <w:sz w:val="36"/>
          <w:szCs w:val="36"/>
        </w:rPr>
        <w:t xml:space="preserve">second largest </w:t>
      </w:r>
      <w:r w:rsidR="00F82ADC" w:rsidRPr="002A26C4">
        <w:rPr>
          <w:sz w:val="36"/>
          <w:szCs w:val="36"/>
        </w:rPr>
        <w:t xml:space="preserve">industrial </w:t>
      </w:r>
      <w:r w:rsidRPr="002A26C4">
        <w:rPr>
          <w:sz w:val="36"/>
          <w:szCs w:val="36"/>
        </w:rPr>
        <w:t xml:space="preserve">homogeneous </w:t>
      </w:r>
      <w:r w:rsidR="00F82ADC">
        <w:rPr>
          <w:sz w:val="36"/>
          <w:szCs w:val="36"/>
        </w:rPr>
        <w:t>carbonylation</w:t>
      </w:r>
      <w:r w:rsidRPr="002A26C4">
        <w:rPr>
          <w:sz w:val="36"/>
          <w:szCs w:val="36"/>
        </w:rPr>
        <w:t xml:space="preserve"> process</w:t>
      </w:r>
      <w:r>
        <w:rPr>
          <w:sz w:val="36"/>
          <w:szCs w:val="36"/>
        </w:rPr>
        <w:t xml:space="preserve"> with over</w:t>
      </w:r>
      <w:r w:rsidRPr="002A26C4">
        <w:rPr>
          <w:sz w:val="36"/>
          <w:szCs w:val="36"/>
        </w:rPr>
        <w:t xml:space="preserve"> </w:t>
      </w:r>
      <w:r w:rsidR="00085F01">
        <w:rPr>
          <w:sz w:val="36"/>
          <w:szCs w:val="36"/>
        </w:rPr>
        <w:t>7</w:t>
      </w:r>
      <w:r w:rsidRPr="002A26C4">
        <w:rPr>
          <w:sz w:val="36"/>
          <w:szCs w:val="36"/>
        </w:rPr>
        <w:t xml:space="preserve"> billion pounds of acetic acid produced each year using this technology.  Prior to 1970, acetic acid was made using cobalt catalysts (BASF process) requiring rather severe conditions.  In 1970 </w:t>
      </w:r>
      <w:r>
        <w:rPr>
          <w:sz w:val="36"/>
          <w:szCs w:val="36"/>
        </w:rPr>
        <w:t xml:space="preserve">Monsanto </w:t>
      </w:r>
      <w:r w:rsidRPr="002A26C4">
        <w:rPr>
          <w:sz w:val="36"/>
          <w:szCs w:val="36"/>
        </w:rPr>
        <w:t xml:space="preserve"> commercialized a rhodium carbonyl iodide catalyst that is commonly called the </w:t>
      </w:r>
      <w:r w:rsidRPr="002A26C4">
        <w:rPr>
          <w:color w:val="FF0000"/>
          <w:sz w:val="36"/>
          <w:szCs w:val="36"/>
        </w:rPr>
        <w:t>Monsanto Acetic Acid Process</w:t>
      </w:r>
      <w:r w:rsidRPr="002A26C4">
        <w:rPr>
          <w:sz w:val="36"/>
          <w:szCs w:val="36"/>
        </w:rPr>
        <w:t xml:space="preserve"> </w:t>
      </w:r>
      <w:r>
        <w:rPr>
          <w:sz w:val="36"/>
          <w:szCs w:val="36"/>
        </w:rPr>
        <w:t xml:space="preserve">(developed </w:t>
      </w:r>
      <w:r w:rsidR="00EA151A">
        <w:rPr>
          <w:sz w:val="36"/>
          <w:szCs w:val="36"/>
        </w:rPr>
        <w:t xml:space="preserve">in the late 60’s </w:t>
      </w:r>
      <w:r>
        <w:rPr>
          <w:sz w:val="36"/>
          <w:szCs w:val="36"/>
        </w:rPr>
        <w:t xml:space="preserve">by James Roth </w:t>
      </w:r>
      <w:r w:rsidR="00F82ADC">
        <w:rPr>
          <w:sz w:val="36"/>
          <w:szCs w:val="36"/>
        </w:rPr>
        <w:t xml:space="preserve">and his research team </w:t>
      </w:r>
      <w:r>
        <w:rPr>
          <w:sz w:val="36"/>
          <w:szCs w:val="36"/>
        </w:rPr>
        <w:t xml:space="preserve">at the corporate research center in </w:t>
      </w:r>
      <w:smartTag w:uri="urn:schemas-microsoft-com:office:smarttags" w:element="place">
        <w:smartTag w:uri="urn:schemas-microsoft-com:office:smarttags" w:element="City">
          <w:r>
            <w:rPr>
              <w:sz w:val="36"/>
              <w:szCs w:val="36"/>
            </w:rPr>
            <w:t>St. Louis</w:t>
          </w:r>
        </w:smartTag>
      </w:smartTag>
      <w:r>
        <w:rPr>
          <w:sz w:val="36"/>
          <w:szCs w:val="36"/>
        </w:rPr>
        <w:t>).  In 1</w:t>
      </w:r>
      <w:r w:rsidRPr="002A26C4">
        <w:rPr>
          <w:sz w:val="36"/>
          <w:szCs w:val="36"/>
        </w:rPr>
        <w:t>986 Monsanto sold the acetic acid plant and technology to British Petroleum</w:t>
      </w:r>
      <w:r w:rsidR="00F82ADC">
        <w:rPr>
          <w:sz w:val="36"/>
          <w:szCs w:val="36"/>
        </w:rPr>
        <w:t xml:space="preserve"> (BP)</w:t>
      </w:r>
      <w:r>
        <w:rPr>
          <w:sz w:val="36"/>
          <w:szCs w:val="36"/>
        </w:rPr>
        <w:t>, but it is still commonly referred to as the Monsanto Acetic Acid process</w:t>
      </w:r>
      <w:r w:rsidRPr="002A26C4">
        <w:rPr>
          <w:sz w:val="36"/>
          <w:szCs w:val="36"/>
        </w:rPr>
        <w:t xml:space="preserve">.  </w:t>
      </w:r>
    </w:p>
    <w:p w:rsidR="00C824BF" w:rsidRDefault="002A26C4" w:rsidP="00F82ADC">
      <w:pPr>
        <w:autoSpaceDE w:val="0"/>
        <w:autoSpaceDN w:val="0"/>
        <w:adjustRightInd w:val="0"/>
        <w:spacing w:after="120"/>
        <w:rPr>
          <w:sz w:val="36"/>
          <w:szCs w:val="36"/>
        </w:rPr>
      </w:pPr>
      <w:r w:rsidRPr="002A26C4">
        <w:rPr>
          <w:sz w:val="36"/>
          <w:szCs w:val="36"/>
        </w:rPr>
        <w:t>As with hydroformylation catalysis, rhodium is 10</w:t>
      </w:r>
      <w:r w:rsidRPr="002A26C4">
        <w:rPr>
          <w:rFonts w:ascii="Tms Rmn" w:hAnsi="Tms Rmn"/>
          <w:position w:val="6"/>
          <w:sz w:val="28"/>
          <w:szCs w:val="28"/>
        </w:rPr>
        <w:t>3</w:t>
      </w:r>
      <w:r w:rsidRPr="002A26C4">
        <w:rPr>
          <w:sz w:val="36"/>
          <w:szCs w:val="36"/>
        </w:rPr>
        <w:t xml:space="preserve"> to 10</w:t>
      </w:r>
      <w:r w:rsidRPr="002A26C4">
        <w:rPr>
          <w:rFonts w:ascii="Tms Rmn" w:hAnsi="Tms Rmn"/>
          <w:position w:val="6"/>
          <w:sz w:val="28"/>
          <w:szCs w:val="28"/>
        </w:rPr>
        <w:t>4</w:t>
      </w:r>
      <w:r w:rsidRPr="002A26C4">
        <w:rPr>
          <w:sz w:val="36"/>
          <w:szCs w:val="36"/>
        </w:rPr>
        <w:t xml:space="preserve"> times more active than the corresponding cobalt catalyst, which means that much lower CO pressures and moderately lower temperatures are required.  </w:t>
      </w:r>
      <w:r w:rsidR="00D73E53">
        <w:rPr>
          <w:sz w:val="36"/>
          <w:szCs w:val="36"/>
        </w:rPr>
        <w:t>M</w:t>
      </w:r>
      <w:r w:rsidRPr="002A26C4">
        <w:rPr>
          <w:sz w:val="36"/>
          <w:szCs w:val="36"/>
        </w:rPr>
        <w:t>ost importantly, the rhodium catalyst gives extremely hi</w:t>
      </w:r>
      <w:r>
        <w:rPr>
          <w:sz w:val="36"/>
          <w:szCs w:val="36"/>
        </w:rPr>
        <w:t>gh selectivities to acetic acid:</w:t>
      </w:r>
    </w:p>
    <w:tbl>
      <w:tblPr>
        <w:tblW w:w="0" w:type="auto"/>
        <w:jc w:val="center"/>
        <w:tblLayout w:type="fixed"/>
        <w:tblCellMar>
          <w:left w:w="0" w:type="dxa"/>
          <w:right w:w="0" w:type="dxa"/>
        </w:tblCellMar>
        <w:tblLook w:val="0000" w:firstRow="0" w:lastRow="0" w:firstColumn="0" w:lastColumn="0" w:noHBand="0" w:noVBand="0"/>
      </w:tblPr>
      <w:tblGrid>
        <w:gridCol w:w="2537"/>
        <w:gridCol w:w="2971"/>
        <w:gridCol w:w="2159"/>
      </w:tblGrid>
      <w:tr w:rsidR="002A26C4">
        <w:trPr>
          <w:cantSplit/>
          <w:jc w:val="center"/>
        </w:trPr>
        <w:tc>
          <w:tcPr>
            <w:tcW w:w="2537" w:type="dxa"/>
            <w:tcBorders>
              <w:top w:val="single" w:sz="12" w:space="0" w:color="auto"/>
              <w:bottom w:val="single" w:sz="12" w:space="0" w:color="auto"/>
              <w:right w:val="single" w:sz="6" w:space="0" w:color="auto"/>
            </w:tcBorders>
          </w:tcPr>
          <w:p w:rsidR="002A26C4" w:rsidRPr="008E593F" w:rsidRDefault="002A26C4" w:rsidP="00BB08D9">
            <w:pPr>
              <w:spacing w:before="100" w:after="100"/>
              <w:jc w:val="center"/>
              <w:rPr>
                <w:rFonts w:ascii="Arial" w:hAnsi="Arial" w:cs="Arial"/>
                <w:b/>
                <w:sz w:val="32"/>
                <w:szCs w:val="32"/>
              </w:rPr>
            </w:pPr>
          </w:p>
        </w:tc>
        <w:tc>
          <w:tcPr>
            <w:tcW w:w="2971" w:type="dxa"/>
            <w:tcBorders>
              <w:top w:val="single" w:sz="12" w:space="0" w:color="auto"/>
              <w:bottom w:val="single" w:sz="12" w:space="0" w:color="auto"/>
            </w:tcBorders>
          </w:tcPr>
          <w:p w:rsidR="002A26C4" w:rsidRPr="008E593F" w:rsidRDefault="002A26C4" w:rsidP="00BB08D9">
            <w:pPr>
              <w:spacing w:before="100" w:after="100"/>
              <w:jc w:val="center"/>
              <w:rPr>
                <w:rFonts w:ascii="Arial" w:hAnsi="Arial" w:cs="Arial"/>
                <w:b/>
                <w:sz w:val="32"/>
                <w:szCs w:val="32"/>
              </w:rPr>
            </w:pPr>
            <w:r w:rsidRPr="008E593F">
              <w:rPr>
                <w:rFonts w:ascii="Arial" w:hAnsi="Arial" w:cs="Arial"/>
                <w:b/>
                <w:sz w:val="32"/>
                <w:szCs w:val="32"/>
              </w:rPr>
              <w:t>Cobalt</w:t>
            </w:r>
          </w:p>
        </w:tc>
        <w:tc>
          <w:tcPr>
            <w:tcW w:w="2159" w:type="dxa"/>
            <w:tcBorders>
              <w:top w:val="single" w:sz="12" w:space="0" w:color="auto"/>
              <w:bottom w:val="single" w:sz="12" w:space="0" w:color="auto"/>
            </w:tcBorders>
          </w:tcPr>
          <w:p w:rsidR="002A26C4" w:rsidRPr="008E593F" w:rsidRDefault="002A26C4" w:rsidP="00BB08D9">
            <w:pPr>
              <w:spacing w:before="100" w:after="100"/>
              <w:jc w:val="center"/>
              <w:rPr>
                <w:rFonts w:ascii="Arial" w:hAnsi="Arial" w:cs="Arial"/>
                <w:b/>
                <w:color w:val="FF0000"/>
                <w:sz w:val="32"/>
                <w:szCs w:val="32"/>
              </w:rPr>
            </w:pPr>
            <w:r w:rsidRPr="008E593F">
              <w:rPr>
                <w:rFonts w:ascii="Arial" w:hAnsi="Arial" w:cs="Arial"/>
                <w:b/>
                <w:color w:val="FF0000"/>
                <w:sz w:val="32"/>
                <w:szCs w:val="32"/>
              </w:rPr>
              <w:t>Rhodium</w:t>
            </w:r>
          </w:p>
        </w:tc>
      </w:tr>
      <w:tr w:rsidR="002A26C4">
        <w:trPr>
          <w:cantSplit/>
          <w:jc w:val="center"/>
        </w:trPr>
        <w:tc>
          <w:tcPr>
            <w:tcW w:w="2537" w:type="dxa"/>
            <w:tcBorders>
              <w:top w:val="single" w:sz="12" w:space="0" w:color="auto"/>
              <w:right w:val="single" w:sz="6" w:space="0" w:color="auto"/>
            </w:tcBorders>
          </w:tcPr>
          <w:p w:rsidR="002A26C4" w:rsidRPr="002A26C4" w:rsidRDefault="002A26C4" w:rsidP="00BB08D9">
            <w:pPr>
              <w:spacing w:before="100" w:after="100"/>
              <w:jc w:val="center"/>
              <w:rPr>
                <w:sz w:val="36"/>
                <w:szCs w:val="36"/>
              </w:rPr>
            </w:pPr>
            <w:r w:rsidRPr="002A26C4">
              <w:rPr>
                <w:sz w:val="36"/>
                <w:szCs w:val="36"/>
              </w:rPr>
              <w:t>Concentration</w:t>
            </w:r>
          </w:p>
        </w:tc>
        <w:tc>
          <w:tcPr>
            <w:tcW w:w="2971" w:type="dxa"/>
            <w:tcBorders>
              <w:top w:val="single" w:sz="12" w:space="0" w:color="auto"/>
            </w:tcBorders>
          </w:tcPr>
          <w:p w:rsidR="002A26C4" w:rsidRPr="002A26C4" w:rsidRDefault="002A26C4" w:rsidP="00BB08D9">
            <w:pPr>
              <w:spacing w:before="100" w:after="100"/>
              <w:jc w:val="center"/>
              <w:rPr>
                <w:sz w:val="36"/>
                <w:szCs w:val="36"/>
              </w:rPr>
            </w:pPr>
            <w:r w:rsidRPr="002A26C4">
              <w:rPr>
                <w:sz w:val="36"/>
                <w:szCs w:val="36"/>
              </w:rPr>
              <w:t>~ 1</w:t>
            </w:r>
            <w:r>
              <w:rPr>
                <w:sz w:val="36"/>
                <w:szCs w:val="36"/>
              </w:rPr>
              <w:t>0</w:t>
            </w:r>
            <w:r w:rsidRPr="002A26C4">
              <w:rPr>
                <w:rFonts w:ascii="Symbol" w:hAnsi="Symbol"/>
                <w:position w:val="12"/>
                <w:sz w:val="28"/>
                <w:szCs w:val="28"/>
              </w:rPr>
              <w:t></w:t>
            </w:r>
            <w:r w:rsidRPr="002A26C4">
              <w:rPr>
                <w:position w:val="12"/>
                <w:sz w:val="28"/>
                <w:szCs w:val="28"/>
              </w:rPr>
              <w:t>1</w:t>
            </w:r>
            <w:r w:rsidRPr="002A26C4">
              <w:rPr>
                <w:sz w:val="36"/>
                <w:szCs w:val="36"/>
              </w:rPr>
              <w:t xml:space="preserve"> M</w:t>
            </w:r>
          </w:p>
        </w:tc>
        <w:tc>
          <w:tcPr>
            <w:tcW w:w="2159" w:type="dxa"/>
            <w:tcBorders>
              <w:top w:val="single" w:sz="12" w:space="0" w:color="auto"/>
            </w:tcBorders>
          </w:tcPr>
          <w:p w:rsidR="002A26C4" w:rsidRPr="002A26C4" w:rsidRDefault="002A26C4" w:rsidP="00BB08D9">
            <w:pPr>
              <w:spacing w:before="100" w:after="100"/>
              <w:jc w:val="center"/>
              <w:rPr>
                <w:sz w:val="36"/>
                <w:szCs w:val="36"/>
              </w:rPr>
            </w:pPr>
            <w:r w:rsidRPr="002A26C4">
              <w:rPr>
                <w:sz w:val="36"/>
                <w:szCs w:val="36"/>
              </w:rPr>
              <w:t>~ 10</w:t>
            </w:r>
            <w:r w:rsidRPr="002A26C4">
              <w:rPr>
                <w:rFonts w:ascii="Symbol" w:hAnsi="Symbol"/>
                <w:position w:val="12"/>
                <w:sz w:val="28"/>
                <w:szCs w:val="28"/>
              </w:rPr>
              <w:t></w:t>
            </w:r>
            <w:r>
              <w:rPr>
                <w:position w:val="12"/>
                <w:sz w:val="28"/>
                <w:szCs w:val="28"/>
              </w:rPr>
              <w:t>3</w:t>
            </w:r>
            <w:r w:rsidRPr="002A26C4">
              <w:rPr>
                <w:sz w:val="36"/>
                <w:szCs w:val="36"/>
              </w:rPr>
              <w:t xml:space="preserve"> M</w:t>
            </w:r>
          </w:p>
        </w:tc>
      </w:tr>
      <w:tr w:rsidR="002A26C4">
        <w:trPr>
          <w:cantSplit/>
          <w:jc w:val="center"/>
        </w:trPr>
        <w:tc>
          <w:tcPr>
            <w:tcW w:w="2537" w:type="dxa"/>
            <w:tcBorders>
              <w:right w:val="single" w:sz="6" w:space="0" w:color="auto"/>
            </w:tcBorders>
          </w:tcPr>
          <w:p w:rsidR="002A26C4" w:rsidRPr="002A26C4" w:rsidRDefault="002A26C4" w:rsidP="00BB08D9">
            <w:pPr>
              <w:spacing w:before="100" w:after="100"/>
              <w:jc w:val="center"/>
              <w:rPr>
                <w:sz w:val="36"/>
                <w:szCs w:val="36"/>
              </w:rPr>
            </w:pPr>
            <w:r w:rsidRPr="002A26C4">
              <w:rPr>
                <w:sz w:val="36"/>
                <w:szCs w:val="36"/>
              </w:rPr>
              <w:t>Temperature</w:t>
            </w:r>
          </w:p>
        </w:tc>
        <w:tc>
          <w:tcPr>
            <w:tcW w:w="2971" w:type="dxa"/>
          </w:tcPr>
          <w:p w:rsidR="002A26C4" w:rsidRPr="002A26C4" w:rsidRDefault="002A26C4" w:rsidP="00BB08D9">
            <w:pPr>
              <w:spacing w:before="100" w:after="100"/>
              <w:jc w:val="center"/>
              <w:rPr>
                <w:sz w:val="36"/>
                <w:szCs w:val="36"/>
              </w:rPr>
            </w:pPr>
            <w:r w:rsidRPr="002A26C4">
              <w:rPr>
                <w:sz w:val="36"/>
                <w:szCs w:val="36"/>
              </w:rPr>
              <w:t>~ 230° C</w:t>
            </w:r>
          </w:p>
        </w:tc>
        <w:tc>
          <w:tcPr>
            <w:tcW w:w="2159" w:type="dxa"/>
          </w:tcPr>
          <w:p w:rsidR="002A26C4" w:rsidRPr="002A26C4" w:rsidRDefault="002A26C4" w:rsidP="00BB08D9">
            <w:pPr>
              <w:spacing w:before="100" w:after="100"/>
              <w:jc w:val="center"/>
              <w:rPr>
                <w:sz w:val="36"/>
                <w:szCs w:val="36"/>
              </w:rPr>
            </w:pPr>
            <w:r w:rsidRPr="002A26C4">
              <w:rPr>
                <w:sz w:val="36"/>
                <w:szCs w:val="36"/>
              </w:rPr>
              <w:t>~180° C</w:t>
            </w:r>
          </w:p>
        </w:tc>
      </w:tr>
      <w:tr w:rsidR="002A26C4">
        <w:trPr>
          <w:cantSplit/>
          <w:jc w:val="center"/>
        </w:trPr>
        <w:tc>
          <w:tcPr>
            <w:tcW w:w="2537" w:type="dxa"/>
            <w:tcBorders>
              <w:right w:val="single" w:sz="6" w:space="0" w:color="auto"/>
            </w:tcBorders>
          </w:tcPr>
          <w:p w:rsidR="002A26C4" w:rsidRPr="002A26C4" w:rsidRDefault="002A26C4" w:rsidP="00BB08D9">
            <w:pPr>
              <w:spacing w:before="100" w:after="100"/>
              <w:jc w:val="center"/>
              <w:rPr>
                <w:sz w:val="36"/>
                <w:szCs w:val="36"/>
              </w:rPr>
            </w:pPr>
            <w:r w:rsidRPr="002A26C4">
              <w:rPr>
                <w:sz w:val="36"/>
                <w:szCs w:val="36"/>
              </w:rPr>
              <w:t>Pressure</w:t>
            </w:r>
          </w:p>
        </w:tc>
        <w:tc>
          <w:tcPr>
            <w:tcW w:w="2971" w:type="dxa"/>
          </w:tcPr>
          <w:p w:rsidR="002A26C4" w:rsidRPr="002A26C4" w:rsidRDefault="002A26C4" w:rsidP="00BB08D9">
            <w:pPr>
              <w:spacing w:before="100" w:after="100"/>
              <w:jc w:val="center"/>
              <w:rPr>
                <w:sz w:val="36"/>
                <w:szCs w:val="36"/>
              </w:rPr>
            </w:pPr>
            <w:r w:rsidRPr="002A26C4">
              <w:rPr>
                <w:sz w:val="36"/>
                <w:szCs w:val="36"/>
              </w:rPr>
              <w:t>500-700 atm</w:t>
            </w:r>
          </w:p>
        </w:tc>
        <w:tc>
          <w:tcPr>
            <w:tcW w:w="2159" w:type="dxa"/>
          </w:tcPr>
          <w:p w:rsidR="002A26C4" w:rsidRPr="002A26C4" w:rsidRDefault="002A26C4" w:rsidP="00BB08D9">
            <w:pPr>
              <w:spacing w:before="100" w:after="100"/>
              <w:jc w:val="center"/>
              <w:rPr>
                <w:sz w:val="36"/>
                <w:szCs w:val="36"/>
              </w:rPr>
            </w:pPr>
            <w:r w:rsidRPr="002A26C4">
              <w:rPr>
                <w:sz w:val="36"/>
                <w:szCs w:val="36"/>
              </w:rPr>
              <w:t>30-40 atm</w:t>
            </w:r>
          </w:p>
        </w:tc>
      </w:tr>
      <w:tr w:rsidR="002A26C4">
        <w:trPr>
          <w:cantSplit/>
          <w:jc w:val="center"/>
        </w:trPr>
        <w:tc>
          <w:tcPr>
            <w:tcW w:w="2537" w:type="dxa"/>
            <w:tcBorders>
              <w:right w:val="single" w:sz="6" w:space="0" w:color="auto"/>
            </w:tcBorders>
          </w:tcPr>
          <w:p w:rsidR="002A26C4" w:rsidRPr="002A26C4" w:rsidRDefault="002A26C4" w:rsidP="00BB08D9">
            <w:pPr>
              <w:spacing w:before="100" w:after="100"/>
              <w:jc w:val="center"/>
              <w:rPr>
                <w:sz w:val="36"/>
                <w:szCs w:val="36"/>
              </w:rPr>
            </w:pPr>
            <w:r w:rsidRPr="002A26C4">
              <w:rPr>
                <w:sz w:val="36"/>
                <w:szCs w:val="36"/>
              </w:rPr>
              <w:t>Selectivity</w:t>
            </w:r>
          </w:p>
        </w:tc>
        <w:tc>
          <w:tcPr>
            <w:tcW w:w="2971" w:type="dxa"/>
          </w:tcPr>
          <w:p w:rsidR="002A26C4" w:rsidRPr="002A26C4" w:rsidRDefault="002A26C4" w:rsidP="00BB08D9">
            <w:pPr>
              <w:spacing w:before="100" w:after="100"/>
              <w:jc w:val="center"/>
              <w:rPr>
                <w:sz w:val="36"/>
                <w:szCs w:val="36"/>
              </w:rPr>
            </w:pPr>
            <w:r w:rsidRPr="002A26C4">
              <w:rPr>
                <w:sz w:val="36"/>
                <w:szCs w:val="36"/>
              </w:rPr>
              <w:t>90%</w:t>
            </w:r>
          </w:p>
        </w:tc>
        <w:tc>
          <w:tcPr>
            <w:tcW w:w="2159" w:type="dxa"/>
          </w:tcPr>
          <w:p w:rsidR="002A26C4" w:rsidRPr="002A26C4" w:rsidRDefault="002A26C4" w:rsidP="00BB08D9">
            <w:pPr>
              <w:spacing w:before="100" w:after="100"/>
              <w:jc w:val="center"/>
              <w:rPr>
                <w:sz w:val="36"/>
                <w:szCs w:val="36"/>
              </w:rPr>
            </w:pPr>
            <w:r w:rsidRPr="002A26C4">
              <w:rPr>
                <w:sz w:val="36"/>
                <w:szCs w:val="36"/>
              </w:rPr>
              <w:t>&gt; 99%</w:t>
            </w:r>
          </w:p>
        </w:tc>
      </w:tr>
      <w:tr w:rsidR="002A26C4">
        <w:trPr>
          <w:cantSplit/>
          <w:jc w:val="center"/>
        </w:trPr>
        <w:tc>
          <w:tcPr>
            <w:tcW w:w="2537" w:type="dxa"/>
            <w:tcBorders>
              <w:bottom w:val="single" w:sz="12" w:space="0" w:color="auto"/>
              <w:right w:val="single" w:sz="6" w:space="0" w:color="auto"/>
            </w:tcBorders>
          </w:tcPr>
          <w:p w:rsidR="002A26C4" w:rsidRPr="002A26C4" w:rsidRDefault="002A26C4" w:rsidP="00BB08D9">
            <w:pPr>
              <w:spacing w:before="100" w:after="100"/>
              <w:jc w:val="center"/>
              <w:rPr>
                <w:sz w:val="36"/>
                <w:szCs w:val="36"/>
              </w:rPr>
            </w:pPr>
            <w:r w:rsidRPr="002A26C4">
              <w:rPr>
                <w:sz w:val="36"/>
                <w:szCs w:val="36"/>
              </w:rPr>
              <w:t>H</w:t>
            </w:r>
            <w:r w:rsidRPr="002A26C4">
              <w:rPr>
                <w:position w:val="-4"/>
                <w:sz w:val="28"/>
                <w:szCs w:val="28"/>
              </w:rPr>
              <w:t>2</w:t>
            </w:r>
            <w:r w:rsidRPr="002A26C4">
              <w:rPr>
                <w:sz w:val="36"/>
                <w:szCs w:val="36"/>
              </w:rPr>
              <w:t xml:space="preserve"> effect</w:t>
            </w:r>
          </w:p>
        </w:tc>
        <w:tc>
          <w:tcPr>
            <w:tcW w:w="2971" w:type="dxa"/>
            <w:tcBorders>
              <w:bottom w:val="single" w:sz="12" w:space="0" w:color="auto"/>
            </w:tcBorders>
          </w:tcPr>
          <w:p w:rsidR="002A26C4" w:rsidRPr="002A26C4" w:rsidRDefault="002A26C4" w:rsidP="00BB08D9">
            <w:pPr>
              <w:spacing w:before="100" w:after="100"/>
              <w:jc w:val="center"/>
              <w:rPr>
                <w:sz w:val="36"/>
                <w:szCs w:val="36"/>
              </w:rPr>
            </w:pPr>
            <w:r w:rsidRPr="002A26C4">
              <w:rPr>
                <w:sz w:val="36"/>
                <w:szCs w:val="36"/>
              </w:rPr>
              <w:t>CH</w:t>
            </w:r>
            <w:r w:rsidRPr="002A26C4">
              <w:rPr>
                <w:position w:val="-4"/>
                <w:sz w:val="28"/>
                <w:szCs w:val="28"/>
              </w:rPr>
              <w:t>4</w:t>
            </w:r>
            <w:r w:rsidRPr="002A26C4">
              <w:rPr>
                <w:sz w:val="36"/>
                <w:szCs w:val="36"/>
              </w:rPr>
              <w:t>, CH</w:t>
            </w:r>
            <w:r w:rsidRPr="002A26C4">
              <w:rPr>
                <w:position w:val="-4"/>
                <w:sz w:val="28"/>
                <w:szCs w:val="28"/>
              </w:rPr>
              <w:t>3</w:t>
            </w:r>
            <w:r w:rsidRPr="002A26C4">
              <w:rPr>
                <w:sz w:val="36"/>
                <w:szCs w:val="36"/>
              </w:rPr>
              <w:t>CHO, EtOH byproducts</w:t>
            </w:r>
          </w:p>
        </w:tc>
        <w:tc>
          <w:tcPr>
            <w:tcW w:w="2159" w:type="dxa"/>
            <w:tcBorders>
              <w:bottom w:val="single" w:sz="12" w:space="0" w:color="auto"/>
            </w:tcBorders>
          </w:tcPr>
          <w:p w:rsidR="002A26C4" w:rsidRPr="002A26C4" w:rsidRDefault="002A26C4" w:rsidP="00BB08D9">
            <w:pPr>
              <w:spacing w:before="100" w:after="100"/>
              <w:jc w:val="center"/>
              <w:rPr>
                <w:sz w:val="36"/>
                <w:szCs w:val="36"/>
              </w:rPr>
            </w:pPr>
            <w:r w:rsidRPr="002A26C4">
              <w:rPr>
                <w:sz w:val="36"/>
                <w:szCs w:val="36"/>
              </w:rPr>
              <w:t xml:space="preserve">no </w:t>
            </w:r>
            <w:r>
              <w:rPr>
                <w:sz w:val="36"/>
                <w:szCs w:val="36"/>
              </w:rPr>
              <w:t xml:space="preserve">adverse </w:t>
            </w:r>
            <w:r w:rsidRPr="002A26C4">
              <w:rPr>
                <w:sz w:val="36"/>
                <w:szCs w:val="36"/>
              </w:rPr>
              <w:t>effect</w:t>
            </w:r>
          </w:p>
        </w:tc>
      </w:tr>
    </w:tbl>
    <w:p w:rsidR="00F2090D" w:rsidRPr="0016407D" w:rsidRDefault="00AA4BD3" w:rsidP="00AE38B8">
      <w:pPr>
        <w:autoSpaceDE w:val="0"/>
        <w:autoSpaceDN w:val="0"/>
        <w:adjustRightInd w:val="0"/>
        <w:spacing w:after="240" w:line="440" w:lineRule="exact"/>
        <w:rPr>
          <w:rFonts w:ascii="MS Shell Dlg" w:hAnsi="MS Shell Dlg" w:cs="MS Shell Dlg"/>
          <w:sz w:val="17"/>
          <w:szCs w:val="17"/>
        </w:rPr>
      </w:pPr>
      <w:r w:rsidRPr="00AA4BD3">
        <w:rPr>
          <w:sz w:val="36"/>
          <w:szCs w:val="36"/>
        </w:rPr>
        <w:lastRenderedPageBreak/>
        <w:t xml:space="preserve">The mechanism has been extensively studied by Forster and coworkers at Monsanto and is shown </w:t>
      </w:r>
      <w:r>
        <w:rPr>
          <w:sz w:val="36"/>
          <w:szCs w:val="36"/>
        </w:rPr>
        <w:t>below</w:t>
      </w:r>
      <w:r w:rsidRPr="00AA4BD3">
        <w:rPr>
          <w:sz w:val="36"/>
          <w:szCs w:val="36"/>
        </w:rPr>
        <w:t xml:space="preserve">.  </w:t>
      </w:r>
      <w:r>
        <w:rPr>
          <w:sz w:val="36"/>
          <w:szCs w:val="36"/>
        </w:rPr>
        <w:t>This catalytic reaction is an unusual dual cycle system involving HI as one catalyst and [</w:t>
      </w:r>
      <w:r w:rsidRPr="00F2090D">
        <w:rPr>
          <w:color w:val="FF00FF"/>
          <w:sz w:val="36"/>
          <w:szCs w:val="36"/>
        </w:rPr>
        <w:t>Rh</w:t>
      </w:r>
      <w:r>
        <w:rPr>
          <w:sz w:val="36"/>
          <w:szCs w:val="36"/>
        </w:rPr>
        <w:t>I</w:t>
      </w:r>
      <w:r w:rsidRPr="00AE38B8">
        <w:rPr>
          <w:position w:val="-10"/>
          <w:sz w:val="28"/>
          <w:szCs w:val="28"/>
        </w:rPr>
        <w:t>2</w:t>
      </w:r>
      <w:r>
        <w:rPr>
          <w:sz w:val="36"/>
          <w:szCs w:val="36"/>
        </w:rPr>
        <w:t>(CO)</w:t>
      </w:r>
      <w:r w:rsidRPr="00F2090D">
        <w:rPr>
          <w:position w:val="-10"/>
          <w:sz w:val="28"/>
          <w:szCs w:val="28"/>
        </w:rPr>
        <w:t>2</w:t>
      </w:r>
      <w:r>
        <w:rPr>
          <w:sz w:val="36"/>
          <w:szCs w:val="36"/>
        </w:rPr>
        <w:t>]</w:t>
      </w:r>
      <w:r w:rsidRPr="00F2090D">
        <w:rPr>
          <w:rFonts w:ascii="Symbol" w:hAnsi="Symbol"/>
          <w:position w:val="12"/>
          <w:sz w:val="28"/>
          <w:szCs w:val="28"/>
        </w:rPr>
        <w:t></w:t>
      </w:r>
      <w:r>
        <w:rPr>
          <w:sz w:val="36"/>
          <w:szCs w:val="36"/>
        </w:rPr>
        <w:t xml:space="preserve"> as the transition metal component.  HI catalyzes the</w:t>
      </w:r>
      <w:r w:rsidRPr="00AA4BD3">
        <w:rPr>
          <w:sz w:val="36"/>
          <w:szCs w:val="36"/>
        </w:rPr>
        <w:t xml:space="preserve"> conversion of MeOH to MeI and H</w:t>
      </w:r>
      <w:r w:rsidRPr="00AA4BD3">
        <w:rPr>
          <w:position w:val="-6"/>
          <w:sz w:val="28"/>
          <w:szCs w:val="28"/>
        </w:rPr>
        <w:t>2</w:t>
      </w:r>
      <w:r w:rsidRPr="00AA4BD3">
        <w:rPr>
          <w:sz w:val="36"/>
          <w:szCs w:val="36"/>
        </w:rPr>
        <w:t xml:space="preserve">O at the beginning of the Rh-catalyzed carbonylation reaction, </w:t>
      </w:r>
      <w:r>
        <w:rPr>
          <w:sz w:val="36"/>
          <w:szCs w:val="36"/>
        </w:rPr>
        <w:t>followed by</w:t>
      </w:r>
      <w:r w:rsidRPr="00AA4BD3">
        <w:rPr>
          <w:sz w:val="36"/>
          <w:szCs w:val="36"/>
        </w:rPr>
        <w:t xml:space="preserve"> regeneration of HI at the end of the Rh-cycle by hydrolysis of the acyl-iodide.</w:t>
      </w:r>
      <w:r>
        <w:rPr>
          <w:sz w:val="36"/>
          <w:szCs w:val="36"/>
        </w:rPr>
        <w:t xml:space="preserve">  The Rh catalyst carbonylates the MeI to produce the acyl-iodide.  </w:t>
      </w:r>
    </w:p>
    <w:p w:rsidR="00C747CF" w:rsidRDefault="00910FD7" w:rsidP="00EA151A">
      <w:pPr>
        <w:spacing w:after="240"/>
        <w:jc w:val="center"/>
        <w:rPr>
          <w:sz w:val="36"/>
          <w:szCs w:val="36"/>
        </w:rPr>
      </w:pPr>
      <w:r>
        <w:object w:dxaOrig="7979" w:dyaOrig="4985">
          <v:shape id="_x0000_i1026" type="#_x0000_t75" style="width:459pt;height:287.25pt" o:ole="">
            <v:imagedata r:id="rId8" o:title=""/>
          </v:shape>
          <o:OLEObject Type="Embed" ProgID="ChemDraw.Document.6.0" ShapeID="_x0000_i1026" DrawAspect="Content" ObjectID="_1564226318" r:id="rId9"/>
        </w:object>
      </w:r>
    </w:p>
    <w:p w:rsidR="00AA4BD3" w:rsidRDefault="00AA4BD3" w:rsidP="00AE38B8">
      <w:pPr>
        <w:spacing w:after="240" w:line="440" w:lineRule="exact"/>
        <w:rPr>
          <w:sz w:val="36"/>
          <w:szCs w:val="36"/>
        </w:rPr>
      </w:pPr>
      <w:r w:rsidRPr="00AA4BD3">
        <w:rPr>
          <w:sz w:val="36"/>
          <w:szCs w:val="36"/>
        </w:rPr>
        <w:t>The reaction is independent of CO pressure, and first order in both rhodium and MeI.  The rate determining step is the oxidative addition of MeI to the [Rh(CO)</w:t>
      </w:r>
      <w:r w:rsidRPr="00AA4BD3">
        <w:rPr>
          <w:position w:val="-10"/>
          <w:sz w:val="28"/>
          <w:szCs w:val="28"/>
        </w:rPr>
        <w:t>2</w:t>
      </w:r>
      <w:r w:rsidRPr="00AA4BD3">
        <w:rPr>
          <w:sz w:val="36"/>
          <w:szCs w:val="36"/>
        </w:rPr>
        <w:t>I</w:t>
      </w:r>
      <w:r w:rsidRPr="00AA4BD3">
        <w:rPr>
          <w:position w:val="-10"/>
          <w:sz w:val="28"/>
          <w:szCs w:val="28"/>
        </w:rPr>
        <w:t>2</w:t>
      </w:r>
      <w:r w:rsidRPr="00AA4BD3">
        <w:rPr>
          <w:sz w:val="36"/>
          <w:szCs w:val="36"/>
        </w:rPr>
        <w:t>]</w:t>
      </w:r>
      <w:r w:rsidRPr="00AA4BD3">
        <w:rPr>
          <w:rFonts w:ascii="Symbol" w:hAnsi="Symbol"/>
          <w:position w:val="14"/>
          <w:sz w:val="28"/>
          <w:szCs w:val="28"/>
        </w:rPr>
        <w:t></w:t>
      </w:r>
      <w:r w:rsidRPr="00AA4BD3">
        <w:rPr>
          <w:sz w:val="36"/>
          <w:szCs w:val="36"/>
        </w:rPr>
        <w:t xml:space="preserve"> catalyst.  Thus, the production of MeI from methanol, catalyzed by HI, is critically important.  Iodide ligands are considered to be quite important in this reaction due to the HI catalyzed conversion of MeOH to MeI and their </w:t>
      </w:r>
      <w:r w:rsidR="00EA151A">
        <w:rPr>
          <w:sz w:val="36"/>
          <w:szCs w:val="36"/>
        </w:rPr>
        <w:t xml:space="preserve">relatively </w:t>
      </w:r>
      <w:r w:rsidRPr="00AA4BD3">
        <w:rPr>
          <w:sz w:val="36"/>
          <w:szCs w:val="36"/>
        </w:rPr>
        <w:t>good donor abilities on the Rh center.  The negative charge on the [Rh(CO)</w:t>
      </w:r>
      <w:r w:rsidRPr="00AA4BD3">
        <w:rPr>
          <w:position w:val="-10"/>
          <w:sz w:val="28"/>
          <w:szCs w:val="28"/>
        </w:rPr>
        <w:t>2</w:t>
      </w:r>
      <w:r w:rsidRPr="00AA4BD3">
        <w:rPr>
          <w:sz w:val="36"/>
          <w:szCs w:val="36"/>
        </w:rPr>
        <w:t>I</w:t>
      </w:r>
      <w:r w:rsidRPr="00AA4BD3">
        <w:rPr>
          <w:position w:val="-10"/>
          <w:sz w:val="28"/>
          <w:szCs w:val="28"/>
        </w:rPr>
        <w:t>2</w:t>
      </w:r>
      <w:r w:rsidRPr="00AA4BD3">
        <w:rPr>
          <w:sz w:val="36"/>
          <w:szCs w:val="36"/>
        </w:rPr>
        <w:t>]</w:t>
      </w:r>
      <w:r w:rsidRPr="00AA4BD3">
        <w:rPr>
          <w:rFonts w:ascii="Symbol" w:hAnsi="Symbol"/>
          <w:position w:val="14"/>
          <w:sz w:val="28"/>
          <w:szCs w:val="28"/>
        </w:rPr>
        <w:t></w:t>
      </w:r>
      <w:r w:rsidRPr="00AA4BD3">
        <w:rPr>
          <w:sz w:val="36"/>
          <w:szCs w:val="36"/>
        </w:rPr>
        <w:t xml:space="preserve"> catalyst is believed to be critical in assisting the oxidative addition of MeI to the rhodium center.  The alkyl species, [Rh(CO)</w:t>
      </w:r>
      <w:r w:rsidRPr="00AA4BD3">
        <w:rPr>
          <w:position w:val="-10"/>
          <w:sz w:val="28"/>
          <w:szCs w:val="28"/>
        </w:rPr>
        <w:t>2</w:t>
      </w:r>
      <w:r w:rsidRPr="00AA4BD3">
        <w:rPr>
          <w:sz w:val="36"/>
          <w:szCs w:val="36"/>
        </w:rPr>
        <w:t>(Me)I</w:t>
      </w:r>
      <w:r w:rsidRPr="00AA4BD3">
        <w:rPr>
          <w:position w:val="-10"/>
          <w:sz w:val="28"/>
          <w:szCs w:val="28"/>
        </w:rPr>
        <w:t>3</w:t>
      </w:r>
      <w:r w:rsidRPr="00AA4BD3">
        <w:rPr>
          <w:sz w:val="36"/>
          <w:szCs w:val="36"/>
        </w:rPr>
        <w:t>]</w:t>
      </w:r>
      <w:r w:rsidRPr="00AA4BD3">
        <w:rPr>
          <w:rFonts w:ascii="Symbol" w:hAnsi="Symbol"/>
          <w:position w:val="14"/>
          <w:sz w:val="28"/>
          <w:szCs w:val="28"/>
        </w:rPr>
        <w:t></w:t>
      </w:r>
      <w:r w:rsidRPr="00AA4BD3">
        <w:rPr>
          <w:sz w:val="36"/>
          <w:szCs w:val="36"/>
        </w:rPr>
        <w:t xml:space="preserve">, is extremely reactive towards CO insertion to form the acyl complex. </w:t>
      </w:r>
    </w:p>
    <w:p w:rsidR="00EA151A" w:rsidRPr="00F56CD8" w:rsidRDefault="00EA151A" w:rsidP="00F56CD8">
      <w:pPr>
        <w:spacing w:after="120"/>
        <w:rPr>
          <w:rFonts w:ascii="Arial" w:hAnsi="Arial" w:cs="Arial"/>
          <w:b/>
          <w:color w:val="0000FF"/>
          <w:sz w:val="32"/>
          <w:szCs w:val="32"/>
        </w:rPr>
      </w:pPr>
      <w:r w:rsidRPr="00F56CD8">
        <w:rPr>
          <w:rFonts w:ascii="Arial" w:hAnsi="Arial" w:cs="Arial"/>
          <w:b/>
          <w:color w:val="0000FF"/>
          <w:sz w:val="32"/>
          <w:szCs w:val="32"/>
        </w:rPr>
        <w:lastRenderedPageBreak/>
        <w:t xml:space="preserve">Celanese LiI Modified </w:t>
      </w:r>
      <w:r w:rsidR="002000AF">
        <w:rPr>
          <w:rFonts w:ascii="Arial" w:hAnsi="Arial" w:cs="Arial"/>
          <w:b/>
          <w:color w:val="0000FF"/>
          <w:sz w:val="32"/>
          <w:szCs w:val="32"/>
        </w:rPr>
        <w:t xml:space="preserve">“Low Water” </w:t>
      </w:r>
      <w:r w:rsidRPr="00F56CD8">
        <w:rPr>
          <w:rFonts w:ascii="Arial" w:hAnsi="Arial" w:cs="Arial"/>
          <w:b/>
          <w:color w:val="0000FF"/>
          <w:sz w:val="32"/>
          <w:szCs w:val="32"/>
        </w:rPr>
        <w:t>Catalyst</w:t>
      </w:r>
      <w:r w:rsidR="002000AF">
        <w:rPr>
          <w:rFonts w:ascii="Arial" w:hAnsi="Arial" w:cs="Arial"/>
          <w:b/>
          <w:color w:val="0000FF"/>
          <w:sz w:val="32"/>
          <w:szCs w:val="32"/>
        </w:rPr>
        <w:t xml:space="preserve"> System</w:t>
      </w:r>
    </w:p>
    <w:p w:rsidR="00D73E53" w:rsidRDefault="00D73E53" w:rsidP="003930B7">
      <w:pPr>
        <w:spacing w:after="120" w:line="440" w:lineRule="exact"/>
        <w:rPr>
          <w:sz w:val="36"/>
          <w:szCs w:val="36"/>
        </w:rPr>
      </w:pPr>
      <w:r>
        <w:rPr>
          <w:sz w:val="36"/>
          <w:szCs w:val="36"/>
        </w:rPr>
        <w:t>One problem with the original Monsanto process is that moderately high amounts of H</w:t>
      </w:r>
      <w:r w:rsidRPr="00D73E53">
        <w:rPr>
          <w:position w:val="-10"/>
          <w:sz w:val="28"/>
          <w:szCs w:val="28"/>
        </w:rPr>
        <w:t>2</w:t>
      </w:r>
      <w:r>
        <w:rPr>
          <w:sz w:val="36"/>
          <w:szCs w:val="36"/>
        </w:rPr>
        <w:t xml:space="preserve">O </w:t>
      </w:r>
      <w:r w:rsidR="00F56CD8">
        <w:rPr>
          <w:sz w:val="36"/>
          <w:szCs w:val="36"/>
        </w:rPr>
        <w:t>are</w:t>
      </w:r>
      <w:r>
        <w:rPr>
          <w:sz w:val="36"/>
          <w:szCs w:val="36"/>
        </w:rPr>
        <w:t xml:space="preserve"> needed to produce H</w:t>
      </w:r>
      <w:r w:rsidRPr="00D73E53">
        <w:rPr>
          <w:position w:val="-10"/>
          <w:sz w:val="28"/>
          <w:szCs w:val="28"/>
        </w:rPr>
        <w:t>2</w:t>
      </w:r>
      <w:r>
        <w:rPr>
          <w:sz w:val="36"/>
          <w:szCs w:val="36"/>
        </w:rPr>
        <w:t xml:space="preserve"> in the reactor via the </w:t>
      </w:r>
      <w:r w:rsidRPr="00D73E53">
        <w:rPr>
          <w:b/>
          <w:color w:val="0000FF"/>
          <w:sz w:val="36"/>
          <w:szCs w:val="36"/>
        </w:rPr>
        <w:t>water-gas shift r</w:t>
      </w:r>
      <w:r w:rsidR="00F56CD8">
        <w:rPr>
          <w:b/>
          <w:color w:val="0000FF"/>
          <w:sz w:val="36"/>
          <w:szCs w:val="36"/>
        </w:rPr>
        <w:t>xn</w:t>
      </w:r>
      <w:r>
        <w:rPr>
          <w:sz w:val="36"/>
          <w:szCs w:val="36"/>
        </w:rPr>
        <w:t xml:space="preserve"> (CO + H</w:t>
      </w:r>
      <w:r w:rsidRPr="00D73E53">
        <w:rPr>
          <w:position w:val="-10"/>
          <w:sz w:val="28"/>
          <w:szCs w:val="28"/>
        </w:rPr>
        <w:t>2</w:t>
      </w:r>
      <w:r>
        <w:rPr>
          <w:sz w:val="36"/>
          <w:szCs w:val="36"/>
        </w:rPr>
        <w:t>O</w:t>
      </w:r>
      <w:r w:rsidR="00AE38B8" w:rsidRPr="00D73E53">
        <w:rPr>
          <w:sz w:val="36"/>
          <w:szCs w:val="36"/>
        </w:rPr>
        <w:object w:dxaOrig="1488" w:dyaOrig="480">
          <v:shape id="_x0000_i1027" type="#_x0000_t75" style="width:60.75pt;height:10.5pt" o:ole="" fillcolor="window">
            <v:imagedata r:id="rId10" o:title="" croptop="19676f" cropbottom="19676f"/>
          </v:shape>
          <o:OLEObject Type="Embed" ProgID="ChemDraw.Document.6.0" ShapeID="_x0000_i1027" DrawAspect="Content" ObjectID="_1564226319" r:id="rId11"/>
        </w:object>
      </w:r>
      <w:r>
        <w:rPr>
          <w:sz w:val="36"/>
          <w:szCs w:val="36"/>
        </w:rPr>
        <w:t>CO</w:t>
      </w:r>
      <w:r w:rsidRPr="00D73E53">
        <w:rPr>
          <w:position w:val="-10"/>
          <w:sz w:val="28"/>
          <w:szCs w:val="28"/>
        </w:rPr>
        <w:t>2</w:t>
      </w:r>
      <w:r>
        <w:rPr>
          <w:sz w:val="36"/>
          <w:szCs w:val="36"/>
        </w:rPr>
        <w:t xml:space="preserve"> + H</w:t>
      </w:r>
      <w:r w:rsidRPr="00D73E53">
        <w:rPr>
          <w:position w:val="-10"/>
          <w:sz w:val="28"/>
          <w:szCs w:val="28"/>
        </w:rPr>
        <w:t>2</w:t>
      </w:r>
      <w:r>
        <w:rPr>
          <w:sz w:val="36"/>
          <w:szCs w:val="36"/>
        </w:rPr>
        <w:t>).  The water and H</w:t>
      </w:r>
      <w:r w:rsidRPr="00D73E53">
        <w:rPr>
          <w:position w:val="-10"/>
          <w:sz w:val="28"/>
          <w:szCs w:val="28"/>
        </w:rPr>
        <w:t>2</w:t>
      </w:r>
      <w:r>
        <w:rPr>
          <w:sz w:val="36"/>
          <w:szCs w:val="36"/>
        </w:rPr>
        <w:t xml:space="preserve"> were needed to react with precipitated RhI</w:t>
      </w:r>
      <w:r w:rsidRPr="00D73E53">
        <w:rPr>
          <w:position w:val="-10"/>
          <w:sz w:val="28"/>
          <w:szCs w:val="28"/>
        </w:rPr>
        <w:t>3</w:t>
      </w:r>
      <w:r>
        <w:rPr>
          <w:sz w:val="36"/>
          <w:szCs w:val="36"/>
        </w:rPr>
        <w:t xml:space="preserve"> </w:t>
      </w:r>
      <w:r w:rsidR="00F56CD8">
        <w:rPr>
          <w:sz w:val="36"/>
          <w:szCs w:val="36"/>
        </w:rPr>
        <w:t>and “inactive” [RhI</w:t>
      </w:r>
      <w:r w:rsidR="00F56CD8" w:rsidRPr="00795659">
        <w:rPr>
          <w:position w:val="-10"/>
          <w:sz w:val="28"/>
          <w:szCs w:val="28"/>
        </w:rPr>
        <w:t>4</w:t>
      </w:r>
      <w:r w:rsidR="00F56CD8">
        <w:rPr>
          <w:sz w:val="36"/>
          <w:szCs w:val="36"/>
        </w:rPr>
        <w:t>(CO)</w:t>
      </w:r>
      <w:r w:rsidR="00F56CD8" w:rsidRPr="00795659">
        <w:rPr>
          <w:position w:val="-10"/>
          <w:sz w:val="28"/>
          <w:szCs w:val="28"/>
        </w:rPr>
        <w:t>2</w:t>
      </w:r>
      <w:r w:rsidR="00F56CD8">
        <w:rPr>
          <w:sz w:val="36"/>
          <w:szCs w:val="36"/>
        </w:rPr>
        <w:t>]</w:t>
      </w:r>
      <w:r w:rsidR="00F56CD8" w:rsidRPr="00795659">
        <w:rPr>
          <w:rFonts w:ascii="Symbol" w:hAnsi="Symbol"/>
          <w:position w:val="12"/>
          <w:sz w:val="28"/>
          <w:szCs w:val="28"/>
        </w:rPr>
        <w:t></w:t>
      </w:r>
      <w:r w:rsidR="00BD0494">
        <w:rPr>
          <w:sz w:val="36"/>
          <w:szCs w:val="36"/>
        </w:rPr>
        <w:t>, which</w:t>
      </w:r>
      <w:r>
        <w:rPr>
          <w:sz w:val="36"/>
          <w:szCs w:val="36"/>
        </w:rPr>
        <w:t xml:space="preserve"> formed </w:t>
      </w:r>
      <w:r w:rsidR="00BD0494">
        <w:rPr>
          <w:sz w:val="36"/>
          <w:szCs w:val="36"/>
        </w:rPr>
        <w:t>from</w:t>
      </w:r>
      <w:r>
        <w:rPr>
          <w:sz w:val="36"/>
          <w:szCs w:val="36"/>
        </w:rPr>
        <w:t xml:space="preserve"> side reaction</w:t>
      </w:r>
      <w:r w:rsidR="00F56CD8">
        <w:rPr>
          <w:sz w:val="36"/>
          <w:szCs w:val="36"/>
        </w:rPr>
        <w:t>s</w:t>
      </w:r>
      <w:r w:rsidR="00BD0494">
        <w:rPr>
          <w:sz w:val="36"/>
          <w:szCs w:val="36"/>
        </w:rPr>
        <w:t>,</w:t>
      </w:r>
      <w:r>
        <w:rPr>
          <w:sz w:val="36"/>
          <w:szCs w:val="36"/>
        </w:rPr>
        <w:t xml:space="preserve"> to </w:t>
      </w:r>
      <w:r w:rsidR="00F56CD8">
        <w:rPr>
          <w:sz w:val="36"/>
          <w:szCs w:val="36"/>
        </w:rPr>
        <w:t>regenerate the</w:t>
      </w:r>
      <w:r w:rsidR="00BD0494">
        <w:rPr>
          <w:sz w:val="36"/>
          <w:szCs w:val="36"/>
        </w:rPr>
        <w:t xml:space="preserve"> active Rh(I) catalyst</w:t>
      </w:r>
      <w:r>
        <w:rPr>
          <w:sz w:val="36"/>
          <w:szCs w:val="36"/>
        </w:rPr>
        <w:t xml:space="preserve">.  </w:t>
      </w:r>
      <w:r w:rsidR="00795659">
        <w:rPr>
          <w:sz w:val="36"/>
          <w:szCs w:val="36"/>
        </w:rPr>
        <w:t>The reaction of water with inactive [RhI</w:t>
      </w:r>
      <w:r w:rsidR="00795659" w:rsidRPr="00795659">
        <w:rPr>
          <w:position w:val="-10"/>
          <w:sz w:val="28"/>
          <w:szCs w:val="28"/>
        </w:rPr>
        <w:t>4</w:t>
      </w:r>
      <w:r w:rsidR="00795659">
        <w:rPr>
          <w:sz w:val="36"/>
          <w:szCs w:val="36"/>
        </w:rPr>
        <w:t>(CO)</w:t>
      </w:r>
      <w:r w:rsidR="00795659" w:rsidRPr="00795659">
        <w:rPr>
          <w:position w:val="-10"/>
          <w:sz w:val="28"/>
          <w:szCs w:val="28"/>
        </w:rPr>
        <w:t>2</w:t>
      </w:r>
      <w:r w:rsidR="00795659">
        <w:rPr>
          <w:sz w:val="36"/>
          <w:szCs w:val="36"/>
        </w:rPr>
        <w:t>]</w:t>
      </w:r>
      <w:r w:rsidR="00795659" w:rsidRPr="00795659">
        <w:rPr>
          <w:rFonts w:ascii="Symbol" w:hAnsi="Symbol"/>
          <w:position w:val="12"/>
          <w:sz w:val="28"/>
          <w:szCs w:val="28"/>
        </w:rPr>
        <w:t></w:t>
      </w:r>
      <w:r w:rsidR="00795659">
        <w:rPr>
          <w:sz w:val="36"/>
          <w:szCs w:val="36"/>
        </w:rPr>
        <w:t xml:space="preserve"> to generate active Rh(I) catalyst</w:t>
      </w:r>
      <w:r w:rsidR="00BD0494">
        <w:rPr>
          <w:sz w:val="36"/>
          <w:szCs w:val="36"/>
        </w:rPr>
        <w:t>,</w:t>
      </w:r>
      <w:r w:rsidR="00795659">
        <w:rPr>
          <w:sz w:val="36"/>
          <w:szCs w:val="36"/>
        </w:rPr>
        <w:t xml:space="preserve"> [RhI</w:t>
      </w:r>
      <w:r w:rsidR="00795659">
        <w:rPr>
          <w:position w:val="-10"/>
          <w:sz w:val="28"/>
          <w:szCs w:val="28"/>
        </w:rPr>
        <w:t>2</w:t>
      </w:r>
      <w:r w:rsidR="00795659">
        <w:rPr>
          <w:sz w:val="36"/>
          <w:szCs w:val="36"/>
        </w:rPr>
        <w:t>(CO)</w:t>
      </w:r>
      <w:r w:rsidR="00795659" w:rsidRPr="00795659">
        <w:rPr>
          <w:position w:val="-10"/>
          <w:sz w:val="28"/>
          <w:szCs w:val="28"/>
        </w:rPr>
        <w:t>2</w:t>
      </w:r>
      <w:r w:rsidR="00795659">
        <w:rPr>
          <w:sz w:val="36"/>
          <w:szCs w:val="36"/>
        </w:rPr>
        <w:t>]</w:t>
      </w:r>
      <w:r w:rsidR="00795659" w:rsidRPr="00795659">
        <w:rPr>
          <w:rFonts w:ascii="Symbol" w:hAnsi="Symbol"/>
          <w:position w:val="12"/>
          <w:sz w:val="28"/>
          <w:szCs w:val="28"/>
        </w:rPr>
        <w:t></w:t>
      </w:r>
      <w:r w:rsidR="00BD0494">
        <w:rPr>
          <w:sz w:val="36"/>
          <w:szCs w:val="36"/>
        </w:rPr>
        <w:t xml:space="preserve">, </w:t>
      </w:r>
      <w:r w:rsidR="00795659">
        <w:rPr>
          <w:sz w:val="36"/>
          <w:szCs w:val="36"/>
        </w:rPr>
        <w:t xml:space="preserve">is shown below. </w:t>
      </w:r>
      <w:r w:rsidR="002000AF">
        <w:rPr>
          <w:sz w:val="36"/>
          <w:szCs w:val="36"/>
        </w:rPr>
        <w:t xml:space="preserve">   </w:t>
      </w:r>
    </w:p>
    <w:p w:rsidR="00795659" w:rsidRDefault="00EB6AC4" w:rsidP="00795659">
      <w:pPr>
        <w:spacing w:after="120"/>
        <w:jc w:val="center"/>
        <w:rPr>
          <w:sz w:val="36"/>
          <w:szCs w:val="36"/>
        </w:rPr>
      </w:pPr>
      <w:r>
        <w:object w:dxaOrig="6520" w:dyaOrig="3347">
          <v:shape id="_x0000_i1028" type="#_x0000_t75" style="width:507.75pt;height:261pt" o:ole="">
            <v:imagedata r:id="rId12" o:title=""/>
          </v:shape>
          <o:OLEObject Type="Embed" ProgID="ChemDraw.Document.6.0" ShapeID="_x0000_i1028" DrawAspect="Content" ObjectID="_1564226320" r:id="rId13"/>
        </w:object>
      </w:r>
    </w:p>
    <w:p w:rsidR="00BD0494" w:rsidRDefault="00BD0494" w:rsidP="003930B7">
      <w:pPr>
        <w:spacing w:after="120" w:line="440" w:lineRule="exact"/>
        <w:rPr>
          <w:sz w:val="36"/>
          <w:szCs w:val="36"/>
        </w:rPr>
      </w:pPr>
      <w:r>
        <w:rPr>
          <w:sz w:val="36"/>
          <w:szCs w:val="36"/>
        </w:rPr>
        <w:t>The relatively high amounts of H</w:t>
      </w:r>
      <w:r>
        <w:rPr>
          <w:position w:val="-10"/>
          <w:sz w:val="28"/>
          <w:szCs w:val="28"/>
        </w:rPr>
        <w:t>2</w:t>
      </w:r>
      <w:r>
        <w:rPr>
          <w:sz w:val="36"/>
          <w:szCs w:val="36"/>
        </w:rPr>
        <w:t xml:space="preserve">O needed also increases the amount of the highly corrosive HI present leading to engineering problems.  The water reactivation process is also not especially efficient leading to more inactive Rh present in the reactor. </w:t>
      </w:r>
    </w:p>
    <w:p w:rsidR="00085F01" w:rsidRDefault="00EA151A" w:rsidP="003930B7">
      <w:pPr>
        <w:spacing w:after="120" w:line="440" w:lineRule="exact"/>
        <w:rPr>
          <w:sz w:val="36"/>
          <w:szCs w:val="36"/>
        </w:rPr>
      </w:pPr>
      <w:r>
        <w:rPr>
          <w:sz w:val="36"/>
          <w:szCs w:val="36"/>
        </w:rPr>
        <w:t xml:space="preserve">In the </w:t>
      </w:r>
      <w:r w:rsidR="00D73E53">
        <w:rPr>
          <w:sz w:val="36"/>
          <w:szCs w:val="36"/>
        </w:rPr>
        <w:t>late</w:t>
      </w:r>
      <w:r>
        <w:rPr>
          <w:sz w:val="36"/>
          <w:szCs w:val="36"/>
        </w:rPr>
        <w:t xml:space="preserve"> </w:t>
      </w:r>
      <w:r w:rsidR="00D73E53">
        <w:rPr>
          <w:sz w:val="36"/>
          <w:szCs w:val="36"/>
        </w:rPr>
        <w:t>7</w:t>
      </w:r>
      <w:r>
        <w:rPr>
          <w:sz w:val="36"/>
          <w:szCs w:val="36"/>
        </w:rPr>
        <w:t xml:space="preserve">0’s Celanese </w:t>
      </w:r>
      <w:r w:rsidR="00085F01">
        <w:rPr>
          <w:sz w:val="36"/>
          <w:szCs w:val="36"/>
        </w:rPr>
        <w:t xml:space="preserve">developed a major improvement on the Monsanto technology </w:t>
      </w:r>
      <w:r w:rsidR="00BD0494">
        <w:rPr>
          <w:sz w:val="36"/>
          <w:szCs w:val="36"/>
        </w:rPr>
        <w:t xml:space="preserve">not covered by their narrow patent </w:t>
      </w:r>
      <w:r w:rsidR="00085F01">
        <w:rPr>
          <w:sz w:val="36"/>
          <w:szCs w:val="36"/>
        </w:rPr>
        <w:t xml:space="preserve">that involved the </w:t>
      </w:r>
      <w:r w:rsidR="002000AF">
        <w:rPr>
          <w:sz w:val="36"/>
          <w:szCs w:val="36"/>
        </w:rPr>
        <w:t xml:space="preserve">simple </w:t>
      </w:r>
      <w:r w:rsidR="00085F01">
        <w:rPr>
          <w:sz w:val="36"/>
          <w:szCs w:val="36"/>
        </w:rPr>
        <w:t xml:space="preserve">addition of LiI </w:t>
      </w:r>
      <w:r w:rsidR="00BD0494">
        <w:rPr>
          <w:sz w:val="36"/>
          <w:szCs w:val="36"/>
        </w:rPr>
        <w:t xml:space="preserve">(and other proprietary modifiers) </w:t>
      </w:r>
      <w:r w:rsidR="00085F01">
        <w:rPr>
          <w:sz w:val="36"/>
          <w:szCs w:val="36"/>
        </w:rPr>
        <w:t>to reduce the amount of H</w:t>
      </w:r>
      <w:r w:rsidR="00085F01" w:rsidRPr="00085F01">
        <w:rPr>
          <w:position w:val="-10"/>
          <w:sz w:val="28"/>
          <w:szCs w:val="28"/>
        </w:rPr>
        <w:t>2</w:t>
      </w:r>
      <w:r w:rsidR="00085F01">
        <w:rPr>
          <w:sz w:val="36"/>
          <w:szCs w:val="36"/>
        </w:rPr>
        <w:t xml:space="preserve">O </w:t>
      </w:r>
      <w:r w:rsidR="005756DF">
        <w:rPr>
          <w:sz w:val="36"/>
          <w:szCs w:val="36"/>
        </w:rPr>
        <w:t>(</w:t>
      </w:r>
      <w:r w:rsidR="00085F01">
        <w:rPr>
          <w:sz w:val="36"/>
          <w:szCs w:val="36"/>
        </w:rPr>
        <w:t>and HI</w:t>
      </w:r>
      <w:r w:rsidR="005756DF">
        <w:rPr>
          <w:sz w:val="36"/>
          <w:szCs w:val="36"/>
        </w:rPr>
        <w:t>)</w:t>
      </w:r>
      <w:r w:rsidR="00085F01">
        <w:rPr>
          <w:sz w:val="36"/>
          <w:szCs w:val="36"/>
        </w:rPr>
        <w:t xml:space="preserve"> used in the catalysis.  </w:t>
      </w:r>
      <w:r w:rsidR="00851147">
        <w:rPr>
          <w:sz w:val="36"/>
          <w:szCs w:val="36"/>
        </w:rPr>
        <w:t>Added LiI</w:t>
      </w:r>
      <w:r w:rsidR="00085F01">
        <w:rPr>
          <w:sz w:val="36"/>
          <w:szCs w:val="36"/>
        </w:rPr>
        <w:t xml:space="preserve"> increased the catalyst stability by </w:t>
      </w:r>
      <w:r w:rsidR="00851147">
        <w:rPr>
          <w:sz w:val="36"/>
          <w:szCs w:val="36"/>
        </w:rPr>
        <w:t>minimizing the side reactions that produced inactive Rh(III) species</w:t>
      </w:r>
      <w:r w:rsidR="00085F01">
        <w:rPr>
          <w:sz w:val="36"/>
          <w:szCs w:val="36"/>
        </w:rPr>
        <w:t xml:space="preserve">.  </w:t>
      </w:r>
      <w:r w:rsidR="00851147">
        <w:rPr>
          <w:sz w:val="36"/>
          <w:szCs w:val="36"/>
        </w:rPr>
        <w:t xml:space="preserve">It also increased the amount of the more </w:t>
      </w:r>
      <w:r w:rsidR="005756DF">
        <w:rPr>
          <w:sz w:val="36"/>
          <w:szCs w:val="36"/>
        </w:rPr>
        <w:t>re</w:t>
      </w:r>
      <w:r w:rsidR="00851147">
        <w:rPr>
          <w:sz w:val="36"/>
          <w:szCs w:val="36"/>
        </w:rPr>
        <w:t xml:space="preserve">active </w:t>
      </w:r>
      <w:r w:rsidR="00851147">
        <w:rPr>
          <w:sz w:val="36"/>
          <w:szCs w:val="36"/>
        </w:rPr>
        <w:lastRenderedPageBreak/>
        <w:t>dianionic [RhI</w:t>
      </w:r>
      <w:r w:rsidR="00851147" w:rsidRPr="00851147">
        <w:rPr>
          <w:position w:val="-10"/>
          <w:sz w:val="28"/>
          <w:szCs w:val="28"/>
        </w:rPr>
        <w:t>3</w:t>
      </w:r>
      <w:r w:rsidR="00851147">
        <w:rPr>
          <w:sz w:val="36"/>
          <w:szCs w:val="36"/>
        </w:rPr>
        <w:t>(CO)</w:t>
      </w:r>
      <w:r w:rsidR="00851147" w:rsidRPr="00851147">
        <w:rPr>
          <w:position w:val="-10"/>
          <w:sz w:val="28"/>
          <w:szCs w:val="28"/>
        </w:rPr>
        <w:t>2</w:t>
      </w:r>
      <w:r w:rsidR="00851147">
        <w:rPr>
          <w:sz w:val="36"/>
          <w:szCs w:val="36"/>
        </w:rPr>
        <w:t>]</w:t>
      </w:r>
      <w:r w:rsidR="00851147" w:rsidRPr="00851147">
        <w:rPr>
          <w:rFonts w:ascii="Times" w:hAnsi="Times"/>
          <w:position w:val="12"/>
          <w:sz w:val="28"/>
          <w:szCs w:val="28"/>
        </w:rPr>
        <w:t>2</w:t>
      </w:r>
      <w:r w:rsidR="00851147" w:rsidRPr="00851147">
        <w:rPr>
          <w:rFonts w:ascii="Symbol" w:hAnsi="Symbol"/>
          <w:position w:val="12"/>
          <w:sz w:val="28"/>
          <w:szCs w:val="28"/>
        </w:rPr>
        <w:t></w:t>
      </w:r>
      <w:r w:rsidR="00851147">
        <w:rPr>
          <w:sz w:val="36"/>
          <w:szCs w:val="36"/>
        </w:rPr>
        <w:t xml:space="preserve"> catalyst species.  </w:t>
      </w:r>
      <w:r w:rsidR="00085F01">
        <w:rPr>
          <w:sz w:val="36"/>
          <w:szCs w:val="36"/>
        </w:rPr>
        <w:t xml:space="preserve">This considerably </w:t>
      </w:r>
      <w:r w:rsidR="00851147">
        <w:rPr>
          <w:sz w:val="36"/>
          <w:szCs w:val="36"/>
        </w:rPr>
        <w:t xml:space="preserve">increased the catalyst activity, </w:t>
      </w:r>
      <w:r w:rsidR="00085F01">
        <w:rPr>
          <w:sz w:val="36"/>
          <w:szCs w:val="36"/>
        </w:rPr>
        <w:t>throughput</w:t>
      </w:r>
      <w:r w:rsidR="00851147">
        <w:rPr>
          <w:sz w:val="36"/>
          <w:szCs w:val="36"/>
        </w:rPr>
        <w:t>,</w:t>
      </w:r>
      <w:r w:rsidR="00085F01">
        <w:rPr>
          <w:sz w:val="36"/>
          <w:szCs w:val="36"/>
        </w:rPr>
        <w:t xml:space="preserve"> and efficiency</w:t>
      </w:r>
      <w:r w:rsidR="00851147">
        <w:rPr>
          <w:sz w:val="36"/>
          <w:szCs w:val="36"/>
        </w:rPr>
        <w:t xml:space="preserve">. </w:t>
      </w:r>
    </w:p>
    <w:p w:rsidR="00EA151A" w:rsidRDefault="0078070F" w:rsidP="00EA151A">
      <w:pPr>
        <w:spacing w:after="240"/>
        <w:rPr>
          <w:sz w:val="36"/>
          <w:szCs w:val="36"/>
        </w:rPr>
      </w:pPr>
      <w:r w:rsidRPr="0078070F">
        <w:rPr>
          <w:b/>
          <w:color w:val="FF0000"/>
          <w:sz w:val="36"/>
          <w:szCs w:val="36"/>
          <w:highlight w:val="yellow"/>
        </w:rPr>
        <w:t>Problem:</w:t>
      </w:r>
      <w:r>
        <w:rPr>
          <w:sz w:val="36"/>
          <w:szCs w:val="36"/>
        </w:rPr>
        <w:t xml:space="preserve">  </w:t>
      </w:r>
      <w:r w:rsidRPr="00F56CD8">
        <w:rPr>
          <w:b/>
          <w:sz w:val="36"/>
          <w:szCs w:val="36"/>
        </w:rPr>
        <w:t xml:space="preserve">Increasing the iodide concentration increases the amount of the following 18e- complex.  Why </w:t>
      </w:r>
      <w:r w:rsidR="00851147">
        <w:rPr>
          <w:b/>
          <w:sz w:val="36"/>
          <w:szCs w:val="36"/>
        </w:rPr>
        <w:t xml:space="preserve">is this more reactive and why </w:t>
      </w:r>
      <w:r w:rsidRPr="00F56CD8">
        <w:rPr>
          <w:b/>
          <w:sz w:val="36"/>
          <w:szCs w:val="36"/>
        </w:rPr>
        <w:t xml:space="preserve">doesn’t this </w:t>
      </w:r>
      <w:r w:rsidR="00851147">
        <w:rPr>
          <w:b/>
          <w:sz w:val="36"/>
          <w:szCs w:val="36"/>
        </w:rPr>
        <w:t xml:space="preserve">saturated 18e- complex </w:t>
      </w:r>
      <w:r w:rsidRPr="00F56CD8">
        <w:rPr>
          <w:b/>
          <w:sz w:val="36"/>
          <w:szCs w:val="36"/>
        </w:rPr>
        <w:t xml:space="preserve">slow down the subsequent </w:t>
      </w:r>
      <w:r w:rsidR="00851147">
        <w:rPr>
          <w:b/>
          <w:sz w:val="36"/>
          <w:szCs w:val="36"/>
        </w:rPr>
        <w:t xml:space="preserve">oxidative addition </w:t>
      </w:r>
      <w:r w:rsidRPr="00F56CD8">
        <w:rPr>
          <w:b/>
          <w:sz w:val="36"/>
          <w:szCs w:val="36"/>
        </w:rPr>
        <w:t>reaction with MeI?</w:t>
      </w:r>
      <w:r>
        <w:rPr>
          <w:sz w:val="36"/>
          <w:szCs w:val="36"/>
        </w:rPr>
        <w:t xml:space="preserve">   </w:t>
      </w:r>
    </w:p>
    <w:p w:rsidR="0078070F" w:rsidRDefault="003930B7" w:rsidP="0078070F">
      <w:pPr>
        <w:spacing w:after="240"/>
        <w:jc w:val="center"/>
      </w:pPr>
      <w:r>
        <w:object w:dxaOrig="5121" w:dyaOrig="880">
          <v:shape id="_x0000_i1029" type="#_x0000_t75" style="width:456.75pt;height:78.75pt" o:ole="">
            <v:imagedata r:id="rId14" o:title=""/>
          </v:shape>
          <o:OLEObject Type="Embed" ProgID="ChemDraw.Document.6.0" ShapeID="_x0000_i1029" DrawAspect="Content" ObjectID="_1564226321" r:id="rId15"/>
        </w:object>
      </w:r>
    </w:p>
    <w:p w:rsidR="007F08BB" w:rsidRPr="00851147" w:rsidRDefault="00851147" w:rsidP="00851147">
      <w:pPr>
        <w:spacing w:after="120"/>
        <w:rPr>
          <w:rFonts w:ascii="Arial" w:hAnsi="Arial" w:cs="Arial"/>
          <w:b/>
          <w:color w:val="0000FF"/>
          <w:sz w:val="36"/>
          <w:szCs w:val="36"/>
        </w:rPr>
      </w:pPr>
      <w:r w:rsidRPr="00851147">
        <w:rPr>
          <w:rFonts w:ascii="Arial" w:hAnsi="Arial" w:cs="Arial"/>
          <w:b/>
          <w:color w:val="0000FF"/>
          <w:sz w:val="36"/>
          <w:szCs w:val="36"/>
        </w:rPr>
        <w:t>BP Ir-Based Cativa System</w:t>
      </w:r>
    </w:p>
    <w:p w:rsidR="00851147" w:rsidRDefault="00987987" w:rsidP="00C869CE">
      <w:pPr>
        <w:spacing w:after="240"/>
        <w:rPr>
          <w:sz w:val="36"/>
          <w:szCs w:val="36"/>
        </w:rPr>
      </w:pPr>
      <w:r>
        <w:rPr>
          <w:sz w:val="36"/>
          <w:szCs w:val="36"/>
        </w:rPr>
        <w:t xml:space="preserve">The Cativa Ir-based acetic acid catalyst system was announced with much fanfare in 1999.  However, much of this catalytic chemistry was part of the original Monsanto Acetic Acid patent.  The Ir cycle was originally studied </w:t>
      </w:r>
      <w:r w:rsidR="005756DF">
        <w:rPr>
          <w:sz w:val="36"/>
          <w:szCs w:val="36"/>
        </w:rPr>
        <w:t xml:space="preserve">in considerable detail </w:t>
      </w:r>
      <w:r>
        <w:rPr>
          <w:sz w:val="36"/>
          <w:szCs w:val="36"/>
        </w:rPr>
        <w:t xml:space="preserve">by Forster </w:t>
      </w:r>
      <w:r w:rsidR="005756DF">
        <w:rPr>
          <w:sz w:val="36"/>
          <w:szCs w:val="36"/>
        </w:rPr>
        <w:t>(</w:t>
      </w:r>
      <w:r>
        <w:rPr>
          <w:sz w:val="36"/>
          <w:szCs w:val="36"/>
        </w:rPr>
        <w:t>along with the Rh system</w:t>
      </w:r>
      <w:r w:rsidR="005756DF">
        <w:rPr>
          <w:sz w:val="36"/>
          <w:szCs w:val="36"/>
        </w:rPr>
        <w:t>)</w:t>
      </w:r>
      <w:r>
        <w:rPr>
          <w:sz w:val="36"/>
          <w:szCs w:val="36"/>
        </w:rPr>
        <w:t xml:space="preserve"> in </w:t>
      </w:r>
      <w:r w:rsidR="00C869CE">
        <w:rPr>
          <w:sz w:val="36"/>
          <w:szCs w:val="36"/>
        </w:rPr>
        <w:t>1979 (</w:t>
      </w:r>
      <w:r w:rsidR="00C869CE" w:rsidRPr="005756DF">
        <w:rPr>
          <w:i/>
          <w:color w:val="0000FF"/>
          <w:sz w:val="36"/>
          <w:szCs w:val="36"/>
        </w:rPr>
        <w:t>JCS</w:t>
      </w:r>
      <w:r w:rsidR="00C869CE" w:rsidRPr="005756DF">
        <w:rPr>
          <w:color w:val="0000FF"/>
          <w:sz w:val="36"/>
          <w:szCs w:val="36"/>
        </w:rPr>
        <w:t xml:space="preserve"> </w:t>
      </w:r>
      <w:r w:rsidR="00C869CE" w:rsidRPr="005756DF">
        <w:rPr>
          <w:i/>
          <w:color w:val="0000FF"/>
          <w:sz w:val="36"/>
          <w:szCs w:val="36"/>
        </w:rPr>
        <w:t>Dalton</w:t>
      </w:r>
      <w:r w:rsidR="00C869CE" w:rsidRPr="005756DF">
        <w:rPr>
          <w:color w:val="0000FF"/>
          <w:sz w:val="36"/>
          <w:szCs w:val="36"/>
        </w:rPr>
        <w:t xml:space="preserve">, </w:t>
      </w:r>
      <w:r w:rsidR="00C869CE" w:rsidRPr="005756DF">
        <w:rPr>
          <w:b/>
          <w:color w:val="0000FF"/>
          <w:sz w:val="36"/>
          <w:szCs w:val="36"/>
        </w:rPr>
        <w:t>1979</w:t>
      </w:r>
      <w:r w:rsidR="00C869CE" w:rsidRPr="005756DF">
        <w:rPr>
          <w:color w:val="0000FF"/>
          <w:sz w:val="36"/>
          <w:szCs w:val="36"/>
        </w:rPr>
        <w:t>, 1639</w:t>
      </w:r>
      <w:r w:rsidR="00C869CE">
        <w:rPr>
          <w:sz w:val="36"/>
          <w:szCs w:val="36"/>
        </w:rPr>
        <w:t>)</w:t>
      </w:r>
      <w:r>
        <w:rPr>
          <w:sz w:val="36"/>
          <w:szCs w:val="36"/>
        </w:rPr>
        <w:t>.  The fundamental mechanism is essentially the same as the Rh cycle:</w:t>
      </w:r>
    </w:p>
    <w:p w:rsidR="00A3105B" w:rsidRDefault="003930B7" w:rsidP="00E57CA0">
      <w:pPr>
        <w:spacing w:after="120" w:line="480" w:lineRule="atLeast"/>
        <w:jc w:val="center"/>
      </w:pPr>
      <w:r>
        <w:object w:dxaOrig="7979" w:dyaOrig="4985">
          <v:shape id="_x0000_i1030" type="#_x0000_t75" style="width:413.25pt;height:258.75pt" o:ole="">
            <v:imagedata r:id="rId16" o:title=""/>
          </v:shape>
          <o:OLEObject Type="Embed" ProgID="ChemDraw.Document.6.0" ShapeID="_x0000_i1030" DrawAspect="Content" ObjectID="_1564226322" r:id="rId17"/>
        </w:object>
      </w:r>
    </w:p>
    <w:p w:rsidR="001A23B8" w:rsidRDefault="001A23B8" w:rsidP="00A3105B">
      <w:pPr>
        <w:spacing w:after="120" w:line="480" w:lineRule="atLeast"/>
        <w:rPr>
          <w:sz w:val="36"/>
          <w:szCs w:val="36"/>
        </w:rPr>
      </w:pPr>
      <w:r>
        <w:rPr>
          <w:sz w:val="36"/>
          <w:szCs w:val="36"/>
        </w:rPr>
        <w:br w:type="column"/>
      </w:r>
      <w:r w:rsidR="00987987" w:rsidRPr="001A23B8">
        <w:rPr>
          <w:sz w:val="36"/>
          <w:szCs w:val="36"/>
        </w:rPr>
        <w:lastRenderedPageBreak/>
        <w:t>The main difference</w:t>
      </w:r>
      <w:r>
        <w:rPr>
          <w:sz w:val="36"/>
          <w:szCs w:val="36"/>
        </w:rPr>
        <w:t>s</w:t>
      </w:r>
      <w:r w:rsidR="00987987" w:rsidRPr="001A23B8">
        <w:rPr>
          <w:sz w:val="36"/>
          <w:szCs w:val="36"/>
        </w:rPr>
        <w:t xml:space="preserve"> </w:t>
      </w:r>
      <w:r>
        <w:rPr>
          <w:sz w:val="36"/>
          <w:szCs w:val="36"/>
        </w:rPr>
        <w:t>between the Ir and Rh catalyst systems:</w:t>
      </w:r>
    </w:p>
    <w:p w:rsidR="001A23B8" w:rsidRDefault="001A23B8" w:rsidP="00AE38B8">
      <w:pPr>
        <w:spacing w:after="120" w:line="440" w:lineRule="exact"/>
        <w:ind w:left="634" w:hanging="634"/>
        <w:rPr>
          <w:sz w:val="36"/>
          <w:szCs w:val="36"/>
        </w:rPr>
      </w:pPr>
      <w:r>
        <w:rPr>
          <w:sz w:val="36"/>
          <w:szCs w:val="36"/>
        </w:rPr>
        <w:t>1)</w:t>
      </w:r>
      <w:r>
        <w:rPr>
          <w:sz w:val="36"/>
          <w:szCs w:val="36"/>
        </w:rPr>
        <w:tab/>
        <w:t>The rate determining step for Ir is the migratory insertion of the Ir-CH</w:t>
      </w:r>
      <w:r w:rsidRPr="001A23B8">
        <w:rPr>
          <w:position w:val="-10"/>
          <w:sz w:val="28"/>
          <w:szCs w:val="28"/>
        </w:rPr>
        <w:t>3</w:t>
      </w:r>
      <w:r>
        <w:rPr>
          <w:sz w:val="36"/>
          <w:szCs w:val="36"/>
        </w:rPr>
        <w:t xml:space="preserve"> and Ir-CO ligands.  The </w:t>
      </w:r>
      <w:r w:rsidR="005756DF">
        <w:rPr>
          <w:sz w:val="36"/>
          <w:szCs w:val="36"/>
        </w:rPr>
        <w:t xml:space="preserve">MeI </w:t>
      </w:r>
      <w:r>
        <w:rPr>
          <w:sz w:val="36"/>
          <w:szCs w:val="36"/>
        </w:rPr>
        <w:t xml:space="preserve">oxidative addition step is faster for Ir due to its lower electronegativity.  </w:t>
      </w:r>
    </w:p>
    <w:p w:rsidR="001A23B8" w:rsidRDefault="00283F2A" w:rsidP="001A23B8">
      <w:pPr>
        <w:spacing w:after="120" w:line="480" w:lineRule="atLeast"/>
        <w:ind w:left="630" w:hanging="630"/>
        <w:rPr>
          <w:sz w:val="36"/>
          <w:szCs w:val="36"/>
        </w:rPr>
      </w:pPr>
      <w:r>
        <w:rPr>
          <w:sz w:val="36"/>
          <w:szCs w:val="36"/>
        </w:rPr>
        <w:t>2</w:t>
      </w:r>
      <w:r w:rsidR="001A23B8">
        <w:rPr>
          <w:sz w:val="36"/>
          <w:szCs w:val="36"/>
        </w:rPr>
        <w:t>)</w:t>
      </w:r>
      <w:r w:rsidR="001A23B8">
        <w:rPr>
          <w:sz w:val="36"/>
          <w:szCs w:val="36"/>
        </w:rPr>
        <w:tab/>
        <w:t>The stronger Ir-ligand bonds slow down the migratory insertion step and reductive elimination steps</w:t>
      </w:r>
      <w:r w:rsidR="00C869CE">
        <w:rPr>
          <w:sz w:val="36"/>
          <w:szCs w:val="36"/>
        </w:rPr>
        <w:t xml:space="preserve"> (Foster noted this in 1979 paper).</w:t>
      </w:r>
    </w:p>
    <w:p w:rsidR="001A23B8" w:rsidRDefault="00283F2A" w:rsidP="001A23B8">
      <w:pPr>
        <w:spacing w:after="120" w:line="480" w:lineRule="atLeast"/>
        <w:ind w:left="630" w:hanging="630"/>
        <w:rPr>
          <w:sz w:val="36"/>
          <w:szCs w:val="36"/>
        </w:rPr>
      </w:pPr>
      <w:r>
        <w:rPr>
          <w:sz w:val="36"/>
          <w:szCs w:val="36"/>
        </w:rPr>
        <w:t>3</w:t>
      </w:r>
      <w:r w:rsidR="001A23B8">
        <w:rPr>
          <w:sz w:val="36"/>
          <w:szCs w:val="36"/>
        </w:rPr>
        <w:t>)</w:t>
      </w:r>
      <w:r w:rsidR="001A23B8">
        <w:rPr>
          <w:sz w:val="36"/>
          <w:szCs w:val="36"/>
        </w:rPr>
        <w:tab/>
        <w:t>There are considerably fewer side reactions in the Ir system to make inactive M(III) complexes (soluble or insoluble)</w:t>
      </w:r>
      <w:r>
        <w:rPr>
          <w:sz w:val="36"/>
          <w:szCs w:val="36"/>
        </w:rPr>
        <w:t>.  This is</w:t>
      </w:r>
      <w:r w:rsidR="001A23B8">
        <w:rPr>
          <w:sz w:val="36"/>
          <w:szCs w:val="36"/>
        </w:rPr>
        <w:t xml:space="preserve"> </w:t>
      </w:r>
      <w:r>
        <w:rPr>
          <w:sz w:val="36"/>
          <w:szCs w:val="36"/>
        </w:rPr>
        <w:t>also</w:t>
      </w:r>
      <w:r w:rsidR="001A23B8">
        <w:rPr>
          <w:sz w:val="36"/>
          <w:szCs w:val="36"/>
        </w:rPr>
        <w:t xml:space="preserve"> </w:t>
      </w:r>
      <w:r>
        <w:rPr>
          <w:sz w:val="36"/>
          <w:szCs w:val="36"/>
        </w:rPr>
        <w:t>tied into</w:t>
      </w:r>
      <w:r w:rsidR="001A23B8">
        <w:rPr>
          <w:sz w:val="36"/>
          <w:szCs w:val="36"/>
        </w:rPr>
        <w:t xml:space="preserve"> point #2. </w:t>
      </w:r>
    </w:p>
    <w:p w:rsidR="001A23B8" w:rsidRDefault="001A23B8" w:rsidP="00AE38B8">
      <w:pPr>
        <w:spacing w:after="120" w:line="440" w:lineRule="exact"/>
        <w:rPr>
          <w:sz w:val="36"/>
          <w:szCs w:val="36"/>
        </w:rPr>
      </w:pPr>
      <w:r>
        <w:rPr>
          <w:sz w:val="36"/>
          <w:szCs w:val="36"/>
        </w:rPr>
        <w:t xml:space="preserve">This enables the use of low </w:t>
      </w:r>
      <w:r w:rsidR="00283F2A">
        <w:rPr>
          <w:sz w:val="36"/>
          <w:szCs w:val="36"/>
        </w:rPr>
        <w:t xml:space="preserve">water conditions that makes the BP Ir system competitive with the Celanese LiI modified low water </w:t>
      </w:r>
      <w:r w:rsidR="00455315">
        <w:rPr>
          <w:sz w:val="36"/>
          <w:szCs w:val="36"/>
        </w:rPr>
        <w:t xml:space="preserve">high-activity </w:t>
      </w:r>
      <w:r w:rsidR="00283F2A">
        <w:rPr>
          <w:sz w:val="36"/>
          <w:szCs w:val="36"/>
        </w:rPr>
        <w:t>Rh catalyst.  Due to patents issued by Celanese</w:t>
      </w:r>
      <w:r w:rsidR="00455315">
        <w:rPr>
          <w:sz w:val="36"/>
          <w:szCs w:val="36"/>
        </w:rPr>
        <w:t xml:space="preserve"> and Eastman (see next section)</w:t>
      </w:r>
      <w:r w:rsidR="00283F2A">
        <w:rPr>
          <w:sz w:val="36"/>
          <w:szCs w:val="36"/>
        </w:rPr>
        <w:t xml:space="preserve">, BP </w:t>
      </w:r>
      <w:r w:rsidR="00455315">
        <w:rPr>
          <w:sz w:val="36"/>
          <w:szCs w:val="36"/>
        </w:rPr>
        <w:t xml:space="preserve">could not make use of “normal” additives to convert the Rh catalyst to a low water system.  </w:t>
      </w:r>
    </w:p>
    <w:p w:rsidR="001A23B8" w:rsidRDefault="001F3C9E" w:rsidP="00AE38B8">
      <w:pPr>
        <w:spacing w:after="120" w:line="440" w:lineRule="exact"/>
        <w:rPr>
          <w:sz w:val="36"/>
          <w:szCs w:val="36"/>
        </w:rPr>
      </w:pPr>
      <w:r>
        <w:rPr>
          <w:noProof/>
          <w:sz w:val="36"/>
          <w:szCs w:val="36"/>
        </w:rPr>
        <mc:AlternateContent>
          <mc:Choice Requires="wps">
            <w:drawing>
              <wp:anchor distT="0" distB="0" distL="114300" distR="114300" simplePos="0" relativeHeight="251657728" behindDoc="0" locked="0" layoutInCell="1" allowOverlap="1">
                <wp:simplePos x="0" y="0"/>
                <wp:positionH relativeFrom="column">
                  <wp:posOffset>3401695</wp:posOffset>
                </wp:positionH>
                <wp:positionV relativeFrom="paragraph">
                  <wp:posOffset>1046480</wp:posOffset>
                </wp:positionV>
                <wp:extent cx="3083560" cy="3012440"/>
                <wp:effectExtent l="1270" t="0" r="1270" b="0"/>
                <wp:wrapTight wrapText="bothSides">
                  <wp:wrapPolygon edited="0">
                    <wp:start x="0" y="0"/>
                    <wp:lineTo x="21600" y="0"/>
                    <wp:lineTo x="21600" y="21600"/>
                    <wp:lineTo x="0" y="21600"/>
                    <wp:lineTo x="0" y="0"/>
                  </wp:wrapPolygon>
                </wp:wrapTight>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3012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08B3" w:rsidRDefault="001F3C9E">
                            <w:r>
                              <w:rPr>
                                <w:noProof/>
                              </w:rPr>
                              <w:drawing>
                                <wp:inline distT="0" distB="0" distL="0" distR="0">
                                  <wp:extent cx="2898775" cy="2919730"/>
                                  <wp:effectExtent l="0" t="0" r="0" b="0"/>
                                  <wp:docPr id="8" name="Picture 8" descr="4571-acetic-acid-catalysts-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571-acetic-acid-catalysts-grap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8775" cy="29197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67.85pt;margin-top:82.4pt;width:242.8pt;height:23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" filled="f" stroked="f">
                <v:textbox style="mso-fit-shape-to-text:t">
                  <w:txbxContent>
                    <w:p w:rsidR="00C108B3" w:rsidRDefault="001F3C9E">
                      <w:r>
                        <w:rPr>
                          <w:noProof/>
                        </w:rPr>
                        <w:drawing>
                          <wp:inline distT="0" distB="0" distL="0" distR="0">
                            <wp:extent cx="2898775" cy="2919730"/>
                            <wp:effectExtent l="0" t="0" r="0" b="0"/>
                            <wp:docPr id="8" name="Picture 8" descr="4571-acetic-acid-catalysts-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571-acetic-acid-catalysts-grap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8775" cy="2919730"/>
                                    </a:xfrm>
                                    <a:prstGeom prst="rect">
                                      <a:avLst/>
                                    </a:prstGeom>
                                    <a:noFill/>
                                    <a:ln>
                                      <a:noFill/>
                                    </a:ln>
                                  </pic:spPr>
                                </pic:pic>
                              </a:graphicData>
                            </a:graphic>
                          </wp:inline>
                        </w:drawing>
                      </w:r>
                    </w:p>
                  </w:txbxContent>
                </v:textbox>
                <w10:wrap type="tight"/>
              </v:shape>
            </w:pict>
          </mc:Fallback>
        </mc:AlternateContent>
      </w:r>
      <w:r w:rsidR="00C108B3">
        <w:rPr>
          <w:sz w:val="36"/>
          <w:szCs w:val="36"/>
        </w:rPr>
        <w:t>BP found, however, that a modifier was needed to remove an iodide ligand to generate less electron-rich (more unsaturated) complexes that would favor the CO-methyl migratory insertion and the final reductive elimination of acyl-iodide.  They found that added RuI</w:t>
      </w:r>
      <w:r w:rsidR="00C108B3" w:rsidRPr="00C108B3">
        <w:rPr>
          <w:position w:val="-10"/>
          <w:sz w:val="28"/>
          <w:szCs w:val="28"/>
        </w:rPr>
        <w:t>2</w:t>
      </w:r>
      <w:r w:rsidR="00C108B3">
        <w:rPr>
          <w:sz w:val="36"/>
          <w:szCs w:val="36"/>
        </w:rPr>
        <w:t>(CO)</w:t>
      </w:r>
      <w:r w:rsidR="00C108B3" w:rsidRPr="00C108B3">
        <w:rPr>
          <w:position w:val="-10"/>
          <w:sz w:val="28"/>
          <w:szCs w:val="28"/>
        </w:rPr>
        <w:t>3</w:t>
      </w:r>
      <w:r w:rsidR="00C108B3">
        <w:rPr>
          <w:sz w:val="36"/>
          <w:szCs w:val="36"/>
        </w:rPr>
        <w:t xml:space="preserve"> would reversibly abstract an iodide ligand from the [IrI</w:t>
      </w:r>
      <w:r w:rsidR="00C108B3" w:rsidRPr="00C108B3">
        <w:rPr>
          <w:position w:val="-10"/>
          <w:sz w:val="28"/>
          <w:szCs w:val="28"/>
        </w:rPr>
        <w:t>3</w:t>
      </w:r>
      <w:r w:rsidR="00C108B3">
        <w:rPr>
          <w:sz w:val="36"/>
          <w:szCs w:val="36"/>
        </w:rPr>
        <w:t>(CH</w:t>
      </w:r>
      <w:r w:rsidR="00C108B3" w:rsidRPr="00C108B3">
        <w:rPr>
          <w:position w:val="-10"/>
          <w:sz w:val="28"/>
          <w:szCs w:val="28"/>
        </w:rPr>
        <w:t>3</w:t>
      </w:r>
      <w:r w:rsidR="00C108B3">
        <w:rPr>
          <w:sz w:val="36"/>
          <w:szCs w:val="36"/>
        </w:rPr>
        <w:t>)(CO)</w:t>
      </w:r>
      <w:r w:rsidR="00C108B3" w:rsidRPr="00C108B3">
        <w:rPr>
          <w:position w:val="-10"/>
          <w:sz w:val="28"/>
          <w:szCs w:val="28"/>
        </w:rPr>
        <w:t>2</w:t>
      </w:r>
      <w:r w:rsidR="00C108B3">
        <w:rPr>
          <w:sz w:val="36"/>
          <w:szCs w:val="36"/>
        </w:rPr>
        <w:t>]</w:t>
      </w:r>
      <w:r w:rsidR="00C108B3" w:rsidRPr="00851147">
        <w:rPr>
          <w:rFonts w:ascii="Symbol" w:hAnsi="Symbol"/>
          <w:position w:val="12"/>
          <w:sz w:val="28"/>
          <w:szCs w:val="28"/>
        </w:rPr>
        <w:t></w:t>
      </w:r>
      <w:r w:rsidR="00C108B3">
        <w:rPr>
          <w:sz w:val="36"/>
          <w:szCs w:val="36"/>
        </w:rPr>
        <w:t xml:space="preserve"> complex to enhance the rate of the CO-methyl migratory insertion. </w:t>
      </w:r>
      <w:r w:rsidR="00C869CE">
        <w:rPr>
          <w:sz w:val="36"/>
          <w:szCs w:val="36"/>
        </w:rPr>
        <w:t xml:space="preserve"> </w:t>
      </w:r>
      <w:r w:rsidR="00C108B3">
        <w:rPr>
          <w:sz w:val="36"/>
          <w:szCs w:val="36"/>
        </w:rPr>
        <w:t xml:space="preserve">The enhancing effect is shown in the graph to the right.  </w:t>
      </w:r>
    </w:p>
    <w:p w:rsidR="007F08BB" w:rsidRPr="002000AF" w:rsidRDefault="00C869CE" w:rsidP="00A3105B">
      <w:pPr>
        <w:spacing w:after="120" w:line="480" w:lineRule="atLeast"/>
        <w:rPr>
          <w:rFonts w:ascii="Arial" w:hAnsi="Arial" w:cs="Arial"/>
          <w:color w:val="0000FF"/>
          <w:sz w:val="32"/>
          <w:szCs w:val="32"/>
        </w:rPr>
      </w:pPr>
      <w:r>
        <w:rPr>
          <w:sz w:val="36"/>
          <w:szCs w:val="36"/>
        </w:rPr>
        <w:t>(</w:t>
      </w:r>
      <w:r w:rsidRPr="005756DF">
        <w:rPr>
          <w:color w:val="0000FF"/>
          <w:sz w:val="36"/>
          <w:szCs w:val="36"/>
        </w:rPr>
        <w:t xml:space="preserve">Haynes, </w:t>
      </w:r>
      <w:r w:rsidRPr="005756DF">
        <w:rPr>
          <w:i/>
          <w:color w:val="0000FF"/>
          <w:sz w:val="36"/>
          <w:szCs w:val="36"/>
        </w:rPr>
        <w:t>JACS</w:t>
      </w:r>
      <w:r w:rsidRPr="005756DF">
        <w:rPr>
          <w:color w:val="0000FF"/>
          <w:sz w:val="36"/>
          <w:szCs w:val="36"/>
        </w:rPr>
        <w:t xml:space="preserve">, </w:t>
      </w:r>
      <w:r w:rsidRPr="005756DF">
        <w:rPr>
          <w:b/>
          <w:color w:val="0000FF"/>
          <w:sz w:val="36"/>
          <w:szCs w:val="36"/>
        </w:rPr>
        <w:t>2004</w:t>
      </w:r>
      <w:r w:rsidRPr="005756DF">
        <w:rPr>
          <w:color w:val="0000FF"/>
          <w:sz w:val="36"/>
          <w:szCs w:val="36"/>
        </w:rPr>
        <w:t xml:space="preserve">, </w:t>
      </w:r>
      <w:r w:rsidRPr="005756DF">
        <w:rPr>
          <w:i/>
          <w:color w:val="0000FF"/>
          <w:sz w:val="36"/>
          <w:szCs w:val="36"/>
        </w:rPr>
        <w:t>126</w:t>
      </w:r>
      <w:r w:rsidRPr="005756DF">
        <w:rPr>
          <w:color w:val="0000FF"/>
          <w:sz w:val="36"/>
          <w:szCs w:val="36"/>
        </w:rPr>
        <w:t>, 2847</w:t>
      </w:r>
      <w:r>
        <w:rPr>
          <w:sz w:val="36"/>
          <w:szCs w:val="36"/>
        </w:rPr>
        <w:t>)</w:t>
      </w:r>
      <w:r w:rsidR="007F08BB" w:rsidRPr="001A23B8">
        <w:rPr>
          <w:sz w:val="36"/>
          <w:szCs w:val="36"/>
        </w:rPr>
        <w:br w:type="column"/>
      </w:r>
      <w:r w:rsidR="007F08BB" w:rsidRPr="002000AF">
        <w:rPr>
          <w:rFonts w:ascii="Arial" w:hAnsi="Arial" w:cs="Arial"/>
          <w:b/>
          <w:color w:val="0000FF"/>
          <w:sz w:val="32"/>
          <w:szCs w:val="32"/>
        </w:rPr>
        <w:lastRenderedPageBreak/>
        <w:t xml:space="preserve">Eastman </w:t>
      </w:r>
      <w:r w:rsidR="002000AF" w:rsidRPr="002000AF">
        <w:rPr>
          <w:rFonts w:ascii="Arial" w:hAnsi="Arial" w:cs="Arial"/>
          <w:b/>
          <w:color w:val="0000FF"/>
          <w:sz w:val="32"/>
          <w:szCs w:val="32"/>
        </w:rPr>
        <w:t xml:space="preserve">Chemical </w:t>
      </w:r>
      <w:r w:rsidR="007F08BB" w:rsidRPr="002000AF">
        <w:rPr>
          <w:rFonts w:ascii="Arial" w:hAnsi="Arial" w:cs="Arial"/>
          <w:b/>
          <w:color w:val="0000FF"/>
          <w:sz w:val="32"/>
          <w:szCs w:val="32"/>
        </w:rPr>
        <w:t>Acetic Anhydride Process</w:t>
      </w:r>
    </w:p>
    <w:p w:rsidR="007F08BB" w:rsidRPr="007F08BB" w:rsidRDefault="007F08BB" w:rsidP="003011AA">
      <w:pPr>
        <w:spacing w:after="240" w:line="480" w:lineRule="atLeast"/>
        <w:jc w:val="both"/>
        <w:rPr>
          <w:b/>
          <w:sz w:val="36"/>
          <w:szCs w:val="36"/>
        </w:rPr>
      </w:pPr>
      <w:r w:rsidRPr="007F08BB">
        <w:rPr>
          <w:sz w:val="36"/>
          <w:szCs w:val="36"/>
        </w:rPr>
        <w:t xml:space="preserve">A very closely related process is the Eastman </w:t>
      </w:r>
      <w:r>
        <w:rPr>
          <w:sz w:val="36"/>
          <w:szCs w:val="36"/>
        </w:rPr>
        <w:t>Chemical</w:t>
      </w:r>
      <w:r w:rsidRPr="007F08BB">
        <w:rPr>
          <w:sz w:val="36"/>
          <w:szCs w:val="36"/>
        </w:rPr>
        <w:t xml:space="preserve"> carbonylation of </w:t>
      </w:r>
      <w:r w:rsidRPr="00231E59">
        <w:rPr>
          <w:b/>
          <w:sz w:val="36"/>
          <w:szCs w:val="36"/>
        </w:rPr>
        <w:t>methyl acetate</w:t>
      </w:r>
      <w:r w:rsidRPr="007F08BB">
        <w:rPr>
          <w:sz w:val="36"/>
          <w:szCs w:val="36"/>
        </w:rPr>
        <w:t xml:space="preserve"> to produce acetic anhydride.  This was commercialized in 1983 and produces over </w:t>
      </w:r>
      <w:r>
        <w:rPr>
          <w:sz w:val="36"/>
          <w:szCs w:val="36"/>
        </w:rPr>
        <w:t>8</w:t>
      </w:r>
      <w:r w:rsidRPr="007F08BB">
        <w:rPr>
          <w:sz w:val="36"/>
          <w:szCs w:val="36"/>
        </w:rPr>
        <w:t>00 million pounds of acetic anhydride a year</w:t>
      </w:r>
      <w:r>
        <w:rPr>
          <w:sz w:val="36"/>
          <w:szCs w:val="36"/>
        </w:rPr>
        <w:t xml:space="preserve"> at their </w:t>
      </w:r>
      <w:smartTag w:uri="urn:schemas-microsoft-com:office:smarttags" w:element="place">
        <w:smartTag w:uri="urn:schemas-microsoft-com:office:smarttags" w:element="City">
          <w:r>
            <w:rPr>
              <w:sz w:val="36"/>
              <w:szCs w:val="36"/>
            </w:rPr>
            <w:t>Kingston</w:t>
          </w:r>
        </w:smartTag>
        <w:r>
          <w:rPr>
            <w:sz w:val="36"/>
            <w:szCs w:val="36"/>
          </w:rPr>
          <w:t xml:space="preserve">, </w:t>
        </w:r>
        <w:smartTag w:uri="urn:schemas-microsoft-com:office:smarttags" w:element="State">
          <w:r>
            <w:rPr>
              <w:sz w:val="36"/>
              <w:szCs w:val="36"/>
            </w:rPr>
            <w:t>TN</w:t>
          </w:r>
        </w:smartTag>
      </w:smartTag>
      <w:r>
        <w:rPr>
          <w:sz w:val="36"/>
          <w:szCs w:val="36"/>
        </w:rPr>
        <w:t xml:space="preserve"> plant</w:t>
      </w:r>
      <w:r w:rsidRPr="007F08BB">
        <w:rPr>
          <w:sz w:val="36"/>
          <w:szCs w:val="36"/>
        </w:rPr>
        <w:t xml:space="preserve">.  </w:t>
      </w:r>
    </w:p>
    <w:p w:rsidR="007F08BB" w:rsidRDefault="006C45B1" w:rsidP="007F08BB">
      <w:pPr>
        <w:spacing w:after="240"/>
        <w:jc w:val="center"/>
      </w:pPr>
      <w:r>
        <w:object w:dxaOrig="8954" w:dyaOrig="5680">
          <v:shape id="_x0000_i1031" type="#_x0000_t75" style="width:510.75pt;height:324.75pt" o:ole="">
            <v:imagedata r:id="rId19" o:title=""/>
          </v:shape>
          <o:OLEObject Type="Embed" ProgID="ChemDraw.Document.6.0" ShapeID="_x0000_i1031" DrawAspect="Content" ObjectID="_1564226323" r:id="rId20"/>
        </w:object>
      </w:r>
    </w:p>
    <w:p w:rsidR="006C45B1" w:rsidRDefault="003011AA" w:rsidP="003011AA">
      <w:pPr>
        <w:spacing w:after="240"/>
        <w:rPr>
          <w:sz w:val="36"/>
          <w:szCs w:val="36"/>
        </w:rPr>
      </w:pPr>
      <w:r w:rsidRPr="003011AA">
        <w:rPr>
          <w:sz w:val="36"/>
          <w:szCs w:val="36"/>
        </w:rPr>
        <w:t xml:space="preserve">Note that </w:t>
      </w:r>
      <w:r>
        <w:rPr>
          <w:sz w:val="36"/>
          <w:szCs w:val="36"/>
        </w:rPr>
        <w:t xml:space="preserve">this is essentially the same as the Monsanto/Celanese processes, only the initial reactant has changed.  </w:t>
      </w:r>
      <w:r w:rsidR="006C45B1">
        <w:rPr>
          <w:sz w:val="36"/>
          <w:szCs w:val="36"/>
        </w:rPr>
        <w:t xml:space="preserve">Eastman also worked out that adding excess Li(acetate), much like Celanese adds LiI, eliminates the need for water completely, which is important if one wants to make water sensitive acetic anhydride. </w:t>
      </w:r>
    </w:p>
    <w:p w:rsidR="003011AA" w:rsidRPr="003011AA" w:rsidRDefault="003011AA" w:rsidP="003011AA">
      <w:pPr>
        <w:spacing w:after="240"/>
        <w:rPr>
          <w:sz w:val="36"/>
          <w:szCs w:val="36"/>
        </w:rPr>
      </w:pPr>
      <w:r>
        <w:rPr>
          <w:sz w:val="36"/>
          <w:szCs w:val="36"/>
        </w:rPr>
        <w:t xml:space="preserve">Since this wasn’t covered by the Monsanto </w:t>
      </w:r>
      <w:r w:rsidR="006C45B1">
        <w:rPr>
          <w:sz w:val="36"/>
          <w:szCs w:val="36"/>
        </w:rPr>
        <w:t>(</w:t>
      </w:r>
      <w:r>
        <w:rPr>
          <w:sz w:val="36"/>
          <w:szCs w:val="36"/>
        </w:rPr>
        <w:t>or Celanese</w:t>
      </w:r>
      <w:r w:rsidR="006C45B1">
        <w:rPr>
          <w:sz w:val="36"/>
          <w:szCs w:val="36"/>
        </w:rPr>
        <w:t>)</w:t>
      </w:r>
      <w:r>
        <w:rPr>
          <w:sz w:val="36"/>
          <w:szCs w:val="36"/>
        </w:rPr>
        <w:t xml:space="preserve"> patents, Eastman Chemical didn’t have to pay any royalty or licensing fee, saving them a bunch of $$.</w:t>
      </w:r>
      <w:r w:rsidR="006C45B1">
        <w:rPr>
          <w:sz w:val="36"/>
          <w:szCs w:val="36"/>
        </w:rPr>
        <w:t xml:space="preserve">  </w:t>
      </w:r>
    </w:p>
    <w:sectPr w:rsidR="003011AA" w:rsidRPr="003011AA" w:rsidSect="00BB08D9">
      <w:headerReference w:type="default" r:id="rId21"/>
      <w:pgSz w:w="12240" w:h="15840" w:code="1"/>
      <w:pgMar w:top="720" w:right="720" w:bottom="720" w:left="1008" w:header="720" w:footer="432" w:gutter="0"/>
      <w:cols w:space="720"/>
      <w:titlePg/>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00" w:rsidRDefault="005F2D00" w:rsidP="009C2B18">
      <w:r>
        <w:separator/>
      </w:r>
    </w:p>
  </w:endnote>
  <w:endnote w:type="continuationSeparator" w:id="0">
    <w:p w:rsidR="005F2D00" w:rsidRDefault="005F2D00" w:rsidP="009C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00" w:rsidRDefault="005F2D00" w:rsidP="009C2B18">
      <w:r>
        <w:separator/>
      </w:r>
    </w:p>
  </w:footnote>
  <w:footnote w:type="continuationSeparator" w:id="0">
    <w:p w:rsidR="005F2D00" w:rsidRDefault="005F2D00" w:rsidP="009C2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97" w:rsidRPr="00BC0597" w:rsidRDefault="002A26C4" w:rsidP="00BC0597">
    <w:pPr>
      <w:pStyle w:val="Header"/>
      <w:jc w:val="right"/>
      <w:rPr>
        <w:rFonts w:ascii="Arial" w:hAnsi="Arial" w:cs="Arial"/>
        <w:b/>
        <w:bCs/>
        <w:sz w:val="20"/>
      </w:rPr>
    </w:pPr>
    <w:r>
      <w:rPr>
        <w:rFonts w:ascii="Arial" w:hAnsi="Arial" w:cs="Arial"/>
        <w:b/>
        <w:bCs/>
        <w:sz w:val="20"/>
      </w:rPr>
      <w:t>Acetic Acid</w:t>
    </w:r>
    <w:r w:rsidR="00BC0597" w:rsidRPr="00BC0597">
      <w:rPr>
        <w:rFonts w:ascii="Arial" w:hAnsi="Arial" w:cs="Arial"/>
        <w:b/>
        <w:bCs/>
        <w:sz w:val="20"/>
      </w:rPr>
      <w:t xml:space="preserve"> </w:t>
    </w:r>
    <w:r w:rsidR="00BC0597" w:rsidRPr="00BC0597">
      <w:rPr>
        <w:rStyle w:val="PageNumber"/>
        <w:rFonts w:ascii="Arial" w:hAnsi="Arial" w:cs="Arial"/>
        <w:b/>
        <w:bCs/>
        <w:sz w:val="20"/>
      </w:rPr>
      <w:fldChar w:fldCharType="begin"/>
    </w:r>
    <w:r w:rsidR="00BC0597" w:rsidRPr="00BC0597">
      <w:rPr>
        <w:rStyle w:val="PageNumber"/>
        <w:rFonts w:ascii="Arial" w:hAnsi="Arial" w:cs="Arial"/>
        <w:b/>
        <w:bCs/>
        <w:sz w:val="20"/>
      </w:rPr>
      <w:instrText xml:space="preserve"> PAGE </w:instrText>
    </w:r>
    <w:r w:rsidR="00BC0597" w:rsidRPr="00BC0597">
      <w:rPr>
        <w:rStyle w:val="PageNumber"/>
        <w:rFonts w:ascii="Arial" w:hAnsi="Arial" w:cs="Arial"/>
        <w:b/>
        <w:bCs/>
        <w:sz w:val="20"/>
      </w:rPr>
      <w:fldChar w:fldCharType="separate"/>
    </w:r>
    <w:r w:rsidR="00863E24">
      <w:rPr>
        <w:rStyle w:val="PageNumber"/>
        <w:rFonts w:ascii="Arial" w:hAnsi="Arial" w:cs="Arial"/>
        <w:b/>
        <w:bCs/>
        <w:noProof/>
        <w:sz w:val="20"/>
      </w:rPr>
      <w:t>6</w:t>
    </w:r>
    <w:r w:rsidR="00BC0597" w:rsidRPr="00BC0597">
      <w:rPr>
        <w:rStyle w:val="PageNumber"/>
        <w:rFonts w:ascii="Arial" w:hAnsi="Arial" w:cs="Arial"/>
        <w:b/>
        <w:bCs/>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5"/>
    <w:rsid w:val="000070BD"/>
    <w:rsid w:val="000431DF"/>
    <w:rsid w:val="00085F01"/>
    <w:rsid w:val="00101BE9"/>
    <w:rsid w:val="00103603"/>
    <w:rsid w:val="001421AA"/>
    <w:rsid w:val="0016407D"/>
    <w:rsid w:val="001A23B8"/>
    <w:rsid w:val="001F3C9E"/>
    <w:rsid w:val="002000AF"/>
    <w:rsid w:val="00220EAE"/>
    <w:rsid w:val="00231E59"/>
    <w:rsid w:val="00272FEF"/>
    <w:rsid w:val="00283F2A"/>
    <w:rsid w:val="00284105"/>
    <w:rsid w:val="002A26C4"/>
    <w:rsid w:val="002B1730"/>
    <w:rsid w:val="002E7CFD"/>
    <w:rsid w:val="002F79C7"/>
    <w:rsid w:val="003011AA"/>
    <w:rsid w:val="00352C6E"/>
    <w:rsid w:val="003930B7"/>
    <w:rsid w:val="003D43B6"/>
    <w:rsid w:val="003F2C85"/>
    <w:rsid w:val="00435DFF"/>
    <w:rsid w:val="00451BAC"/>
    <w:rsid w:val="00455315"/>
    <w:rsid w:val="005169F7"/>
    <w:rsid w:val="00563E3B"/>
    <w:rsid w:val="005756DF"/>
    <w:rsid w:val="005F2D00"/>
    <w:rsid w:val="006B498E"/>
    <w:rsid w:val="006C45B1"/>
    <w:rsid w:val="00700187"/>
    <w:rsid w:val="00711486"/>
    <w:rsid w:val="0078070F"/>
    <w:rsid w:val="00795659"/>
    <w:rsid w:val="007F08BB"/>
    <w:rsid w:val="00801A0E"/>
    <w:rsid w:val="00851147"/>
    <w:rsid w:val="00863E24"/>
    <w:rsid w:val="008A4176"/>
    <w:rsid w:val="008E593F"/>
    <w:rsid w:val="00910FD7"/>
    <w:rsid w:val="00913B95"/>
    <w:rsid w:val="00917602"/>
    <w:rsid w:val="00922EC9"/>
    <w:rsid w:val="009410BE"/>
    <w:rsid w:val="00987987"/>
    <w:rsid w:val="009B1A7B"/>
    <w:rsid w:val="009C2B18"/>
    <w:rsid w:val="00A3105B"/>
    <w:rsid w:val="00AA4BD3"/>
    <w:rsid w:val="00AB39C9"/>
    <w:rsid w:val="00AE38B8"/>
    <w:rsid w:val="00B84EFC"/>
    <w:rsid w:val="00B94C69"/>
    <w:rsid w:val="00BB08D9"/>
    <w:rsid w:val="00BC0597"/>
    <w:rsid w:val="00BD0494"/>
    <w:rsid w:val="00BF5E5B"/>
    <w:rsid w:val="00C108B3"/>
    <w:rsid w:val="00C53CD4"/>
    <w:rsid w:val="00C747CF"/>
    <w:rsid w:val="00C824BF"/>
    <w:rsid w:val="00C869CE"/>
    <w:rsid w:val="00CA127A"/>
    <w:rsid w:val="00CB085C"/>
    <w:rsid w:val="00D67815"/>
    <w:rsid w:val="00D73E53"/>
    <w:rsid w:val="00DD096B"/>
    <w:rsid w:val="00E11A15"/>
    <w:rsid w:val="00E57CA0"/>
    <w:rsid w:val="00E96C37"/>
    <w:rsid w:val="00EA151A"/>
    <w:rsid w:val="00EB6AC4"/>
    <w:rsid w:val="00EC50F3"/>
    <w:rsid w:val="00EE230C"/>
    <w:rsid w:val="00EE4BC4"/>
    <w:rsid w:val="00EE5865"/>
    <w:rsid w:val="00F2090D"/>
    <w:rsid w:val="00F21F45"/>
    <w:rsid w:val="00F54738"/>
    <w:rsid w:val="00F56CD8"/>
    <w:rsid w:val="00F82ADC"/>
    <w:rsid w:val="00FE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5:docId w15:val="{B3AEC1E8-6436-426B-9C63-15262449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position w:val="6"/>
      <w:sz w:val="20"/>
      <w:vertAlign w:val="baseline"/>
    </w:rPr>
  </w:style>
  <w:style w:type="paragraph" w:styleId="EndnoteText">
    <w:name w:val="endnote text"/>
    <w:basedOn w:val="Normal"/>
    <w:semiHidden/>
  </w:style>
  <w:style w:type="paragraph" w:styleId="Header">
    <w:name w:val="header"/>
    <w:basedOn w:val="Normal"/>
    <w:rsid w:val="00BC0597"/>
    <w:pPr>
      <w:tabs>
        <w:tab w:val="center" w:pos="4320"/>
        <w:tab w:val="right" w:pos="8640"/>
      </w:tabs>
    </w:pPr>
  </w:style>
  <w:style w:type="paragraph" w:styleId="Footer">
    <w:name w:val="footer"/>
    <w:basedOn w:val="Normal"/>
    <w:rsid w:val="00BC0597"/>
    <w:pPr>
      <w:tabs>
        <w:tab w:val="center" w:pos="4320"/>
        <w:tab w:val="right" w:pos="8640"/>
      </w:tabs>
    </w:pPr>
  </w:style>
  <w:style w:type="character" w:styleId="PageNumber">
    <w:name w:val="page number"/>
    <w:basedOn w:val="DefaultParagraphFont"/>
    <w:rsid w:val="00BC0597"/>
  </w:style>
  <w:style w:type="table" w:styleId="TableGrid">
    <w:name w:val="Table Grid"/>
    <w:basedOn w:val="TableNormal"/>
    <w:rsid w:val="00AB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3C9E"/>
    <w:rPr>
      <w:rFonts w:ascii="Tahoma" w:hAnsi="Tahoma" w:cs="Tahoma"/>
      <w:sz w:val="16"/>
      <w:szCs w:val="16"/>
    </w:rPr>
  </w:style>
  <w:style w:type="character" w:customStyle="1" w:styleId="BalloonTextChar">
    <w:name w:val="Balloon Text Char"/>
    <w:basedOn w:val="DefaultParagraphFont"/>
    <w:link w:val="BalloonText"/>
    <w:rsid w:val="001F3C9E"/>
    <w:rPr>
      <w:rFonts w:ascii="Tahoma" w:hAnsi="Tahoma" w:cs="Tahoma"/>
      <w:sz w:val="16"/>
      <w:szCs w:val="16"/>
    </w:rPr>
  </w:style>
  <w:style w:type="paragraph" w:styleId="BodyText">
    <w:name w:val="Body Text"/>
    <w:basedOn w:val="Normal"/>
    <w:link w:val="BodyTextChar"/>
    <w:rsid w:val="00863E24"/>
    <w:rPr>
      <w:b/>
      <w:sz w:val="36"/>
    </w:rPr>
  </w:style>
  <w:style w:type="character" w:customStyle="1" w:styleId="BodyTextChar">
    <w:name w:val="Body Text Char"/>
    <w:basedOn w:val="DefaultParagraphFont"/>
    <w:link w:val="BodyText"/>
    <w:rsid w:val="00863E24"/>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e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Hydrogenation Catalysis</vt:lpstr>
    </vt:vector>
  </TitlesOfParts>
  <Company>LSU Department of Chemistry</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Hydrogenation Catalysis</dc:title>
  <dc:creator>George G. Stanley</dc:creator>
  <cp:lastModifiedBy>Chip Nataro</cp:lastModifiedBy>
  <cp:revision>2</cp:revision>
  <cp:lastPrinted>2011-05-03T15:40:00Z</cp:lastPrinted>
  <dcterms:created xsi:type="dcterms:W3CDTF">2017-08-14T18:21:00Z</dcterms:created>
  <dcterms:modified xsi:type="dcterms:W3CDTF">2017-08-14T18:21:00Z</dcterms:modified>
</cp:coreProperties>
</file>